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1559" w:type="dxa"/>
        <w:tblLayout w:type="fixed"/>
        <w:tblCellMar>
          <w:left w:w="227" w:type="dxa"/>
          <w:right w:w="227" w:type="dxa"/>
        </w:tblCellMar>
        <w:tblLook w:val="0000" w:firstRow="0" w:lastRow="0" w:firstColumn="0" w:lastColumn="0" w:noHBand="0" w:noVBand="0"/>
      </w:tblPr>
      <w:tblGrid>
        <w:gridCol w:w="6355"/>
        <w:gridCol w:w="4561"/>
      </w:tblGrid>
      <w:tr w:rsidR="004C384B" w:rsidRPr="009B7A6A" w14:paraId="616B194D" w14:textId="77777777" w:rsidTr="00DD1045">
        <w:trPr>
          <w:trHeight w:val="2041"/>
        </w:trPr>
        <w:tc>
          <w:tcPr>
            <w:tcW w:w="6355" w:type="dxa"/>
          </w:tcPr>
          <w:p w14:paraId="57575077" w14:textId="77777777" w:rsidR="004C384B" w:rsidRPr="009B7A6A" w:rsidRDefault="002A4C57" w:rsidP="00740A9E">
            <w:pPr>
              <w:ind w:left="1049" w:right="4026"/>
              <w:jc w:val="right"/>
            </w:pPr>
            <w:r>
              <w:rPr>
                <w:noProof/>
                <w:lang w:val="de-CH"/>
              </w:rPr>
              <w:drawing>
                <wp:inline distT="0" distB="0" distL="0" distR="0" wp14:anchorId="3EE374FF" wp14:editId="748B725E">
                  <wp:extent cx="2000250" cy="48854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sw_pos_60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00250" cy="488540"/>
                          </a:xfrm>
                          <a:prstGeom prst="rect">
                            <a:avLst/>
                          </a:prstGeom>
                          <a:noFill/>
                          <a:ln>
                            <a:noFill/>
                          </a:ln>
                        </pic:spPr>
                      </pic:pic>
                    </a:graphicData>
                  </a:graphic>
                </wp:inline>
              </w:drawing>
            </w:r>
          </w:p>
        </w:tc>
        <w:tc>
          <w:tcPr>
            <w:tcW w:w="4561" w:type="dxa"/>
          </w:tcPr>
          <w:p w14:paraId="4BB6D793" w14:textId="77777777" w:rsidR="00D8243E" w:rsidRDefault="00D8243E" w:rsidP="00784A8D">
            <w:pPr>
              <w:ind w:left="365"/>
              <w:rPr>
                <w:b/>
                <w:bCs/>
                <w:sz w:val="15"/>
              </w:rPr>
            </w:pPr>
            <w:bookmarkStart w:id="0" w:name="cOrganisationRow1"/>
            <w:r>
              <w:rPr>
                <w:b/>
                <w:bCs/>
                <w:sz w:val="15"/>
              </w:rPr>
              <w:t>Schweizerische Botschaft in den Philippinen</w:t>
            </w:r>
            <w:bookmarkEnd w:id="0"/>
          </w:p>
          <w:p w14:paraId="4078F3ED" w14:textId="77777777" w:rsidR="009158BA" w:rsidRDefault="009158BA" w:rsidP="00784A8D">
            <w:pPr>
              <w:ind w:left="365"/>
              <w:rPr>
                <w:b/>
                <w:bCs/>
                <w:sz w:val="15"/>
              </w:rPr>
            </w:pPr>
            <w:bookmarkStart w:id="1" w:name="cOrganisationRow2"/>
            <w:bookmarkEnd w:id="1"/>
          </w:p>
          <w:p w14:paraId="7B32968C" w14:textId="77777777" w:rsidR="009158BA" w:rsidRDefault="009158BA" w:rsidP="00784A8D">
            <w:pPr>
              <w:ind w:left="365"/>
              <w:rPr>
                <w:b/>
                <w:bCs/>
                <w:sz w:val="15"/>
              </w:rPr>
            </w:pPr>
            <w:bookmarkStart w:id="2" w:name="cOrganisationRow3"/>
            <w:bookmarkEnd w:id="2"/>
          </w:p>
          <w:p w14:paraId="5EC675B0" w14:textId="77777777" w:rsidR="009158BA" w:rsidRDefault="009158BA" w:rsidP="00784A8D">
            <w:pPr>
              <w:ind w:left="365"/>
              <w:rPr>
                <w:b/>
                <w:bCs/>
                <w:sz w:val="15"/>
              </w:rPr>
            </w:pPr>
            <w:bookmarkStart w:id="3" w:name="cOrganisationRow4"/>
            <w:bookmarkEnd w:id="3"/>
          </w:p>
          <w:p w14:paraId="7E9DD273" w14:textId="77777777" w:rsidR="009158BA" w:rsidRPr="009B7A6A" w:rsidRDefault="009158BA" w:rsidP="00784A8D">
            <w:pPr>
              <w:ind w:left="365"/>
              <w:rPr>
                <w:b/>
                <w:bCs/>
                <w:sz w:val="15"/>
              </w:rPr>
            </w:pPr>
            <w:bookmarkStart w:id="4" w:name="cOrganisationRow5"/>
            <w:bookmarkEnd w:id="4"/>
          </w:p>
          <w:p w14:paraId="079F8D1A" w14:textId="77777777" w:rsidR="00622A84" w:rsidRPr="009B7A6A" w:rsidRDefault="00622A84" w:rsidP="009158BA">
            <w:pPr>
              <w:rPr>
                <w:b/>
                <w:bCs/>
                <w:vanish/>
                <w:sz w:val="15"/>
              </w:rPr>
            </w:pPr>
          </w:p>
          <w:p w14:paraId="0EF4D3B9" w14:textId="77777777" w:rsidR="004C384B" w:rsidRPr="009B7A6A" w:rsidRDefault="004C384B" w:rsidP="006F2766">
            <w:pPr>
              <w:ind w:left="648"/>
              <w:rPr>
                <w:b/>
                <w:bCs/>
                <w:vanish/>
                <w:sz w:val="15"/>
              </w:rPr>
            </w:pPr>
          </w:p>
        </w:tc>
      </w:tr>
    </w:tbl>
    <w:p w14:paraId="6C456FEB" w14:textId="757A8FC4" w:rsidR="00256DE8" w:rsidRDefault="00EC0FEC" w:rsidP="00E301B9">
      <w:pPr>
        <w:ind w:left="0" w:firstLine="284"/>
        <w:rPr>
          <w:rFonts w:cs="Helvetica"/>
          <w:lang w:val="de-CH"/>
        </w:rPr>
      </w:pPr>
      <w:bookmarkStart w:id="5" w:name="subject"/>
      <w:bookmarkStart w:id="6" w:name="mainContent"/>
      <w:bookmarkStart w:id="7" w:name="Texteingabe"/>
      <w:bookmarkStart w:id="8" w:name="organisationLocation"/>
      <w:bookmarkEnd w:id="5"/>
      <w:bookmarkEnd w:id="6"/>
      <w:bookmarkEnd w:id="7"/>
      <w:r>
        <w:rPr>
          <w:rFonts w:cs="Helvetica"/>
          <w:lang w:val="de-CH"/>
        </w:rPr>
        <w:t>Manila</w:t>
      </w:r>
      <w:bookmarkEnd w:id="8"/>
      <w:r>
        <w:rPr>
          <w:rFonts w:cs="Helvetica"/>
          <w:lang w:val="de-CH"/>
        </w:rPr>
        <w:t xml:space="preserve">, </w:t>
      </w:r>
      <w:bookmarkStart w:id="9" w:name="date"/>
      <w:r>
        <w:rPr>
          <w:rFonts w:cs="Helvetica"/>
          <w:lang w:val="de-CH"/>
        </w:rPr>
        <w:t>Oktober 2025</w:t>
      </w:r>
      <w:bookmarkEnd w:id="9"/>
    </w:p>
    <w:p w14:paraId="29AAAC41" w14:textId="77777777" w:rsidR="00E301B9" w:rsidRDefault="00E301B9" w:rsidP="003C789A">
      <w:pPr>
        <w:rPr>
          <w:rFonts w:cs="Helvetica"/>
          <w:lang w:val="de-CH"/>
        </w:rPr>
      </w:pPr>
    </w:p>
    <w:p w14:paraId="1F050E04" w14:textId="6B980BBA" w:rsidR="00E301B9" w:rsidRPr="00E301B9" w:rsidRDefault="00E301B9" w:rsidP="00E301B9">
      <w:pPr>
        <w:rPr>
          <w:rFonts w:cs="Helvetica"/>
          <w:b/>
          <w:sz w:val="28"/>
          <w:szCs w:val="28"/>
          <w:lang w:val="de-CH"/>
        </w:rPr>
      </w:pPr>
      <w:r w:rsidRPr="00E301B9">
        <w:rPr>
          <w:rFonts w:cs="Helvetica"/>
          <w:b/>
          <w:sz w:val="28"/>
          <w:szCs w:val="28"/>
          <w:lang w:val="de-CH"/>
        </w:rPr>
        <w:t xml:space="preserve">Vorbereitungsmassnahmen und Verhalten in Krisensituationen für Schweizer Staatsangehörige </w:t>
      </w:r>
      <w:r w:rsidRPr="00E301B9">
        <w:rPr>
          <w:rFonts w:cs="Helvetica"/>
          <w:b/>
          <w:sz w:val="28"/>
          <w:szCs w:val="28"/>
          <w:highlight w:val="yellow"/>
          <w:lang w:val="de-CH"/>
        </w:rPr>
        <w:t xml:space="preserve">in </w:t>
      </w:r>
      <w:r w:rsidRPr="003B636E">
        <w:rPr>
          <w:rFonts w:cs="Helvetica"/>
          <w:b/>
          <w:sz w:val="28"/>
          <w:szCs w:val="28"/>
          <w:highlight w:val="yellow"/>
          <w:lang w:val="de-CH"/>
        </w:rPr>
        <w:t>den Philippinen</w:t>
      </w:r>
    </w:p>
    <w:p w14:paraId="1FF76853" w14:textId="77777777" w:rsidR="00E301B9" w:rsidRPr="00E301B9" w:rsidRDefault="00E301B9" w:rsidP="00E301B9">
      <w:pPr>
        <w:rPr>
          <w:rFonts w:cs="Helvetica"/>
          <w:bCs/>
          <w:lang w:val="de-CH"/>
        </w:rPr>
      </w:pPr>
    </w:p>
    <w:p w14:paraId="716A0CD2" w14:textId="4EFB67C8" w:rsidR="00E301B9" w:rsidRPr="00E301B9" w:rsidRDefault="00E301B9" w:rsidP="00E301B9">
      <w:pPr>
        <w:rPr>
          <w:rFonts w:cs="Helvetica"/>
          <w:b/>
          <w:lang w:val="de-CH"/>
        </w:rPr>
      </w:pPr>
      <w:r w:rsidRPr="00E301B9">
        <w:rPr>
          <w:rFonts w:cs="Helvetica"/>
          <w:b/>
          <w:lang w:val="de-CH"/>
        </w:rPr>
        <w:t>1. Einleitung</w:t>
      </w:r>
      <w:r>
        <w:rPr>
          <w:rFonts w:cs="Helvetica"/>
          <w:b/>
          <w:lang w:val="de-CH"/>
        </w:rPr>
        <w:br/>
      </w:r>
    </w:p>
    <w:p w14:paraId="0C7AB7DF" w14:textId="48BE753B" w:rsidR="00E301B9" w:rsidRPr="00E301B9" w:rsidRDefault="00E301B9" w:rsidP="00E301B9">
      <w:pPr>
        <w:jc w:val="both"/>
        <w:rPr>
          <w:rFonts w:cs="Helvetica"/>
          <w:lang w:val="de-CH"/>
        </w:rPr>
      </w:pPr>
      <w:r w:rsidRPr="00E301B9">
        <w:rPr>
          <w:rFonts w:cs="Helvetica"/>
          <w:lang w:val="de-CH"/>
        </w:rPr>
        <w:t xml:space="preserve">Das am 1. November 2015 in Kraft getretene Bundesgesetz über Schweizer Personen und Institutionen im Ausland, kurz </w:t>
      </w:r>
      <w:hyperlink r:id="rId8" w:history="1">
        <w:r w:rsidRPr="00E301B9">
          <w:rPr>
            <w:rStyle w:val="Hyperlink"/>
            <w:rFonts w:ascii="Arial" w:hAnsi="Arial" w:cs="Helvetica"/>
            <w:lang w:val="de-CH"/>
          </w:rPr>
          <w:t>Auslandschweizergesetz</w:t>
        </w:r>
      </w:hyperlink>
      <w:r w:rsidRPr="00E301B9">
        <w:rPr>
          <w:rFonts w:cs="Helvetica"/>
          <w:lang w:val="de-CH"/>
        </w:rPr>
        <w:t xml:space="preserve"> (ASG), verankert den Grundsatz der Eigenverantwortung der Schweizer Staatsangehörigen im Ausland. Der Gesetzgeber erwartet von jeder Person, dass sie bei der Vorbereitung und Durchführung eines Auslandaufenthalts oder bei der Ausübung einer Tätigkeit im Ausland Eigenverantwortung übernimmt, sich risikogerecht verhält und auftretende Schwierigkeiten grundsätzlich aus eigener Kraft bewältigt.</w:t>
      </w:r>
      <w:r>
        <w:rPr>
          <w:rFonts w:cs="Helvetica"/>
          <w:lang w:val="de-CH"/>
        </w:rPr>
        <w:br/>
      </w:r>
    </w:p>
    <w:p w14:paraId="5AECA8EC" w14:textId="77777777" w:rsidR="00E301B9" w:rsidRPr="00E301B9" w:rsidRDefault="00E301B9" w:rsidP="00E301B9">
      <w:pPr>
        <w:jc w:val="both"/>
        <w:rPr>
          <w:rFonts w:cs="Helvetica"/>
          <w:lang w:val="de-CH"/>
        </w:rPr>
      </w:pPr>
      <w:r w:rsidRPr="00E301B9">
        <w:rPr>
          <w:rFonts w:cs="Helvetica"/>
          <w:lang w:val="de-CH"/>
        </w:rPr>
        <w:t>Das Eidgenössische Departement für auswärtige Angelegenheiten (EDA) kann Personen im Ausland unterstützen, wenn es ihnen nicht zumutbar oder möglich ist, ihre Interessen selbst oder mit Hilfe Dritter zu wahren. Der konsularische Schutz, d.h. die mögliche Hilfeleistung des EDA, setzt ein, wenn die betroffene Person alles im Bereich des Möglichen unternommen hat, um die Notlage selbst, mit Unterstützung der lokalen Behörden, ihrer Versicherung(en) und anderer zu überwinden. Auf die Hilfeleistungen des Bundes besteht kein Rechtsanspruch.</w:t>
      </w:r>
    </w:p>
    <w:p w14:paraId="44194771" w14:textId="5E46447E" w:rsidR="00E301B9" w:rsidRPr="00E301B9" w:rsidRDefault="00E301B9" w:rsidP="00E301B9">
      <w:pPr>
        <w:jc w:val="both"/>
        <w:rPr>
          <w:rFonts w:cs="Helvetica"/>
          <w:lang w:val="de-CH"/>
        </w:rPr>
      </w:pPr>
      <w:r>
        <w:rPr>
          <w:rFonts w:cs="Helvetica"/>
          <w:lang w:val="de-CH"/>
        </w:rPr>
        <w:br/>
      </w:r>
    </w:p>
    <w:p w14:paraId="18D68E7F" w14:textId="1DC934F5" w:rsidR="00E301B9" w:rsidRPr="00E301B9" w:rsidRDefault="00E301B9" w:rsidP="00E301B9">
      <w:pPr>
        <w:rPr>
          <w:rFonts w:cs="Helvetica"/>
          <w:b/>
          <w:lang w:val="de-CH"/>
        </w:rPr>
      </w:pPr>
      <w:r w:rsidRPr="00E301B9">
        <w:rPr>
          <w:rFonts w:cs="Helvetica"/>
          <w:b/>
          <w:lang w:val="de-CH"/>
        </w:rPr>
        <w:t xml:space="preserve">2. Informationsquellen </w:t>
      </w:r>
      <w:r>
        <w:rPr>
          <w:rFonts w:cs="Helvetica"/>
          <w:b/>
          <w:lang w:val="de-CH"/>
        </w:rPr>
        <w:br/>
      </w:r>
    </w:p>
    <w:p w14:paraId="7A256CCF" w14:textId="77777777" w:rsidR="00E301B9" w:rsidRDefault="00E301B9" w:rsidP="00E301B9">
      <w:pPr>
        <w:jc w:val="both"/>
        <w:rPr>
          <w:rFonts w:cs="Helvetica"/>
          <w:lang w:val="de-CH"/>
        </w:rPr>
      </w:pPr>
      <w:r w:rsidRPr="00E301B9">
        <w:rPr>
          <w:rFonts w:cs="Helvetica"/>
          <w:lang w:val="de-CH"/>
        </w:rPr>
        <w:t>In erster Linie sind die lokalen Behörden für die Sicherheit aller Bewohner/-innen eines Landes verantwortlich, also auch für die Schweizer Gemeinschaft vor Ort. Die lokalen Behörden können Empfehlungen zum Schutz der Bevölkerung abgeben und Massnahmen zur Krisenbewältigung einleiten. Ihren Anweisungen ist im Krisenfall Folge zu leisten.</w:t>
      </w:r>
    </w:p>
    <w:p w14:paraId="2C6D34B3" w14:textId="77777777" w:rsidR="00E301B9" w:rsidRPr="00E301B9" w:rsidRDefault="00E301B9" w:rsidP="00E301B9">
      <w:pPr>
        <w:jc w:val="both"/>
        <w:rPr>
          <w:rFonts w:cs="Helvetica"/>
          <w:lang w:val="de-CH"/>
        </w:rPr>
      </w:pPr>
    </w:p>
    <w:p w14:paraId="08CC36C4" w14:textId="77777777" w:rsidR="00E301B9" w:rsidRDefault="00E301B9" w:rsidP="00E301B9">
      <w:pPr>
        <w:jc w:val="both"/>
        <w:rPr>
          <w:rFonts w:cs="Helvetica"/>
          <w:lang w:val="de-CH"/>
        </w:rPr>
      </w:pPr>
      <w:r w:rsidRPr="00E301B9">
        <w:rPr>
          <w:rFonts w:cs="Helvetica"/>
          <w:lang w:val="de-CH"/>
        </w:rPr>
        <w:t xml:space="preserve">Spezifische Informationen zur Vorbereitung und zur Information im Krisenfall finden Sie gegebenenfalls auf den Websites folgender Behörden: </w:t>
      </w:r>
    </w:p>
    <w:p w14:paraId="0C48A7C0" w14:textId="77777777" w:rsidR="00E301B9" w:rsidRPr="00E301B9" w:rsidRDefault="00E301B9" w:rsidP="00E301B9">
      <w:pPr>
        <w:jc w:val="both"/>
        <w:rPr>
          <w:rFonts w:cs="Helvetica"/>
          <w:lang w:val="de-CH"/>
        </w:rPr>
      </w:pPr>
    </w:p>
    <w:p w14:paraId="6790F03C" w14:textId="77777777" w:rsidR="00E301B9" w:rsidRPr="003B636E" w:rsidRDefault="00E301B9" w:rsidP="003B636E">
      <w:pPr>
        <w:spacing w:line="360" w:lineRule="auto"/>
        <w:rPr>
          <w:rFonts w:cs="Helvetica"/>
          <w:iCs/>
          <w:lang w:val="de-CH"/>
        </w:rPr>
      </w:pPr>
      <w:hyperlink r:id="rId9" w:tgtFrame="_blank" w:tooltip="Lien externe" w:history="1">
        <w:r w:rsidRPr="00E301B9">
          <w:rPr>
            <w:rStyle w:val="Hyperlink"/>
            <w:rFonts w:ascii="Arial" w:hAnsi="Arial" w:cs="Helvetica"/>
            <w:b/>
            <w:bCs/>
            <w:iCs/>
          </w:rPr>
          <w:t>Philippine Institute of Volcanology and Seismology PHIVOLCS</w:t>
        </w:r>
      </w:hyperlink>
      <w:r w:rsidRPr="00E301B9">
        <w:rPr>
          <w:rFonts w:cs="Helvetica"/>
          <w:b/>
          <w:bCs/>
          <w:iCs/>
          <w:lang w:val="en-US"/>
        </w:rPr>
        <w:br/>
      </w:r>
      <w:hyperlink r:id="rId10" w:tgtFrame="_blank" w:tooltip="Lien externe" w:history="1">
        <w:r w:rsidRPr="00E301B9">
          <w:rPr>
            <w:rStyle w:val="Hyperlink"/>
            <w:rFonts w:ascii="Arial" w:hAnsi="Arial" w:cs="Helvetica"/>
            <w:b/>
            <w:bCs/>
            <w:iCs/>
          </w:rPr>
          <w:t>Philippine Atmospheric, Geophysical and Astronomical Services Administration PAGASA</w:t>
        </w:r>
      </w:hyperlink>
      <w:hyperlink r:id="rId11" w:tgtFrame="_blank" w:tooltip="Lien externe" w:history="1">
        <w:r w:rsidRPr="00E301B9">
          <w:rPr>
            <w:rStyle w:val="Hyperlink"/>
            <w:rFonts w:ascii="Arial" w:hAnsi="Arial" w:cs="Helvetica"/>
            <w:b/>
            <w:bCs/>
            <w:iCs/>
          </w:rPr>
          <w:br/>
          <w:t>National Disaster Risk Reduction and Management Council</w:t>
        </w:r>
      </w:hyperlink>
    </w:p>
    <w:p w14:paraId="031F0EFD" w14:textId="77777777" w:rsidR="00E301B9" w:rsidRPr="00E301B9" w:rsidRDefault="00E301B9" w:rsidP="00E301B9">
      <w:pPr>
        <w:rPr>
          <w:rFonts w:cs="Helvetica"/>
          <w:b/>
          <w:bCs/>
          <w:i/>
          <w:iCs/>
          <w:lang w:val="en-US"/>
        </w:rPr>
      </w:pPr>
    </w:p>
    <w:p w14:paraId="2E4A1525" w14:textId="77777777" w:rsidR="00E301B9" w:rsidRDefault="00E301B9" w:rsidP="00E301B9">
      <w:pPr>
        <w:jc w:val="both"/>
        <w:rPr>
          <w:rFonts w:cs="Helvetica"/>
          <w:lang w:val="de-CH"/>
        </w:rPr>
      </w:pPr>
      <w:r w:rsidRPr="00E301B9">
        <w:rPr>
          <w:rFonts w:cs="Helvetica"/>
          <w:lang w:val="de-CH"/>
        </w:rPr>
        <w:t>Zusätzlich stehen die untenstehenden allgemeinen Einschätzungen der Bundesbehörden und der internationalen Organisationen zur Verfügung:</w:t>
      </w:r>
    </w:p>
    <w:p w14:paraId="4FE40CE7" w14:textId="77777777" w:rsidR="00E301B9" w:rsidRPr="00E301B9" w:rsidRDefault="00E301B9" w:rsidP="00E301B9">
      <w:pPr>
        <w:jc w:val="both"/>
        <w:rPr>
          <w:rFonts w:cs="Helvetica"/>
          <w:lang w:val="de-CH"/>
        </w:rPr>
      </w:pPr>
    </w:p>
    <w:p w14:paraId="6B19E7B5" w14:textId="0025E594" w:rsidR="00E301B9" w:rsidRDefault="00E301B9" w:rsidP="00E301B9">
      <w:pPr>
        <w:jc w:val="both"/>
        <w:rPr>
          <w:rFonts w:cs="Helvetica"/>
          <w:lang w:val="de-CH"/>
        </w:rPr>
      </w:pPr>
      <w:r w:rsidRPr="00E301B9">
        <w:rPr>
          <w:rFonts w:cs="Helvetica"/>
          <w:lang w:val="de-CH"/>
        </w:rPr>
        <w:t xml:space="preserve">In den Reisehinweisen des EDA unter </w:t>
      </w:r>
      <w:hyperlink r:id="rId12" w:history="1">
        <w:r w:rsidRPr="00E301B9">
          <w:rPr>
            <w:rStyle w:val="Hyperlink"/>
            <w:rFonts w:ascii="Arial" w:hAnsi="Arial" w:cs="Helvetica"/>
            <w:lang w:val="de-CH"/>
          </w:rPr>
          <w:t>www.eda.admin.ch</w:t>
        </w:r>
      </w:hyperlink>
      <w:r w:rsidRPr="00E301B9">
        <w:rPr>
          <w:rFonts w:cs="Helvetica"/>
          <w:lang w:val="de-CH"/>
        </w:rPr>
        <w:t xml:space="preserve"> &gt; </w:t>
      </w:r>
      <w:r w:rsidRPr="00E301B9">
        <w:rPr>
          <w:rFonts w:cs="Helvetica"/>
          <w:i/>
          <w:lang w:val="de-CH"/>
        </w:rPr>
        <w:t>Reisehinweise &amp; Vertretungen</w:t>
      </w:r>
      <w:r w:rsidRPr="00E301B9">
        <w:rPr>
          <w:rFonts w:cs="Helvetica"/>
          <w:lang w:val="de-CH"/>
        </w:rPr>
        <w:t xml:space="preserve"> finden Sie eine aktuelle Einschätzung der Sicherheitslage für </w:t>
      </w:r>
      <w:r w:rsidR="003B636E" w:rsidRPr="003B636E">
        <w:rPr>
          <w:rFonts w:cs="Helvetica"/>
          <w:highlight w:val="yellow"/>
          <w:lang w:val="de-CH"/>
        </w:rPr>
        <w:t>den Philippinen</w:t>
      </w:r>
      <w:r w:rsidR="003B636E">
        <w:rPr>
          <w:rFonts w:cs="Helvetica"/>
          <w:lang w:val="de-CH"/>
        </w:rPr>
        <w:t xml:space="preserve">. </w:t>
      </w:r>
      <w:r w:rsidRPr="00E301B9">
        <w:rPr>
          <w:rFonts w:cs="Helvetica"/>
          <w:lang w:val="de-CH"/>
        </w:rPr>
        <w:t>Bei Fragen zu den Reisehinweisen können Sie sich jederzeit an uns wenden.</w:t>
      </w:r>
    </w:p>
    <w:p w14:paraId="10663D63" w14:textId="77777777" w:rsidR="00E301B9" w:rsidRPr="00E301B9" w:rsidRDefault="00E301B9" w:rsidP="00E301B9">
      <w:pPr>
        <w:jc w:val="both"/>
        <w:rPr>
          <w:rFonts w:cs="Helvetica"/>
          <w:lang w:val="de-CH"/>
        </w:rPr>
      </w:pPr>
    </w:p>
    <w:p w14:paraId="5BDAFE97" w14:textId="77777777" w:rsidR="00E301B9" w:rsidRDefault="00E301B9" w:rsidP="00E301B9">
      <w:pPr>
        <w:jc w:val="both"/>
        <w:rPr>
          <w:rFonts w:cs="Helvetica"/>
          <w:i/>
          <w:lang w:val="de-CH"/>
        </w:rPr>
      </w:pPr>
      <w:r w:rsidRPr="00E301B9">
        <w:rPr>
          <w:rFonts w:cs="Helvetica"/>
          <w:lang w:val="de-CH"/>
        </w:rPr>
        <w:t xml:space="preserve">Weitere nützliche Hinweise und Merkblätter finden Sie unter </w:t>
      </w:r>
      <w:hyperlink r:id="rId13" w:history="1">
        <w:r w:rsidRPr="00E301B9">
          <w:rPr>
            <w:rStyle w:val="Hyperlink"/>
            <w:rFonts w:ascii="Arial" w:hAnsi="Arial" w:cs="Helvetica"/>
            <w:lang w:val="de-CH"/>
          </w:rPr>
          <w:t>www.eda.admin.ch</w:t>
        </w:r>
      </w:hyperlink>
      <w:r w:rsidRPr="00E301B9">
        <w:rPr>
          <w:rFonts w:cs="Helvetica"/>
          <w:lang w:val="de-CH"/>
        </w:rPr>
        <w:t xml:space="preserve"> </w:t>
      </w:r>
      <w:r w:rsidRPr="00E301B9">
        <w:rPr>
          <w:rFonts w:cs="Helvetica"/>
          <w:i/>
          <w:lang w:val="de-CH"/>
        </w:rPr>
        <w:t>&gt; Reisehinweise &amp; Vertretungen &gt; Länderunabhängige Reiseinformationen.</w:t>
      </w:r>
    </w:p>
    <w:p w14:paraId="374C9657" w14:textId="77777777" w:rsidR="00E301B9" w:rsidRPr="00E301B9" w:rsidRDefault="00E301B9" w:rsidP="00E301B9">
      <w:pPr>
        <w:jc w:val="both"/>
        <w:rPr>
          <w:rFonts w:cs="Helvetica"/>
          <w:lang w:val="de-CH"/>
        </w:rPr>
      </w:pPr>
    </w:p>
    <w:p w14:paraId="7B65E029" w14:textId="77777777" w:rsidR="00E301B9" w:rsidRPr="00E301B9" w:rsidRDefault="00E301B9" w:rsidP="00E301B9">
      <w:pPr>
        <w:jc w:val="both"/>
        <w:rPr>
          <w:rFonts w:cs="Helvetica"/>
          <w:lang w:val="de-CH"/>
        </w:rPr>
      </w:pPr>
      <w:r w:rsidRPr="00E301B9">
        <w:rPr>
          <w:rFonts w:cs="Helvetica"/>
          <w:lang w:val="de-CH"/>
        </w:rPr>
        <w:t>Das Bundesamt für Gesundheit (</w:t>
      </w:r>
      <w:hyperlink r:id="rId14" w:history="1">
        <w:r w:rsidRPr="00E301B9">
          <w:rPr>
            <w:rStyle w:val="Hyperlink"/>
            <w:rFonts w:ascii="Arial" w:hAnsi="Arial" w:cs="Helvetica"/>
            <w:lang w:val="de-CH"/>
          </w:rPr>
          <w:t>www.bag.admin.ch</w:t>
        </w:r>
      </w:hyperlink>
      <w:r w:rsidRPr="00E301B9">
        <w:rPr>
          <w:rFonts w:cs="Helvetica"/>
          <w:lang w:val="de-CH"/>
        </w:rPr>
        <w:t xml:space="preserve">), die Website </w:t>
      </w:r>
      <w:hyperlink r:id="rId15" w:history="1">
        <w:r w:rsidRPr="00E301B9">
          <w:rPr>
            <w:rStyle w:val="Hyperlink"/>
            <w:rFonts w:ascii="Arial" w:hAnsi="Arial" w:cs="Helvetica"/>
            <w:lang w:val="de-CH"/>
          </w:rPr>
          <w:t>www.healthytravel.ch</w:t>
        </w:r>
      </w:hyperlink>
      <w:r w:rsidRPr="00E301B9">
        <w:rPr>
          <w:rFonts w:cs="Helvetica"/>
          <w:lang w:val="de-CH"/>
        </w:rPr>
        <w:t xml:space="preserve"> sowie die Weltgesundheitsorganisation (</w:t>
      </w:r>
      <w:hyperlink r:id="rId16" w:history="1">
        <w:r w:rsidRPr="00E301B9">
          <w:rPr>
            <w:rStyle w:val="Hyperlink"/>
            <w:rFonts w:ascii="Arial" w:hAnsi="Arial" w:cs="Helvetica"/>
            <w:lang w:val="de-CH"/>
          </w:rPr>
          <w:t>www.who.int</w:t>
        </w:r>
      </w:hyperlink>
      <w:r w:rsidRPr="00E301B9">
        <w:rPr>
          <w:rFonts w:cs="Helvetica"/>
          <w:lang w:val="de-CH"/>
        </w:rPr>
        <w:t xml:space="preserve">) sind wichtige Informationsquellen im Gesundheitsbereich. </w:t>
      </w:r>
    </w:p>
    <w:p w14:paraId="0E558806" w14:textId="77777777" w:rsidR="00E301B9" w:rsidRDefault="00E301B9" w:rsidP="00E301B9">
      <w:pPr>
        <w:jc w:val="both"/>
        <w:rPr>
          <w:rFonts w:cs="Helvetica"/>
          <w:i/>
          <w:lang w:val="de-CH"/>
        </w:rPr>
      </w:pPr>
    </w:p>
    <w:p w14:paraId="698CA1AB" w14:textId="77777777" w:rsidR="00E301B9" w:rsidRDefault="00E301B9" w:rsidP="00E301B9">
      <w:pPr>
        <w:jc w:val="both"/>
        <w:rPr>
          <w:rFonts w:cs="Helvetica"/>
          <w:i/>
          <w:lang w:val="de-CH"/>
        </w:rPr>
      </w:pPr>
    </w:p>
    <w:p w14:paraId="024FFCDD" w14:textId="4B01518D" w:rsidR="00E301B9" w:rsidRPr="00E301B9" w:rsidRDefault="00E301B9" w:rsidP="00E301B9">
      <w:pPr>
        <w:rPr>
          <w:rFonts w:cs="Helvetica"/>
          <w:b/>
          <w:lang w:val="de-CH"/>
        </w:rPr>
      </w:pPr>
      <w:r w:rsidRPr="00E301B9">
        <w:rPr>
          <w:rFonts w:cs="Helvetica"/>
          <w:b/>
          <w:lang w:val="de-CH"/>
        </w:rPr>
        <w:t>3. Wichtige Vorbereitungsmassnahmen</w:t>
      </w:r>
      <w:r>
        <w:rPr>
          <w:rFonts w:cs="Helvetica"/>
          <w:b/>
          <w:lang w:val="de-CH"/>
        </w:rPr>
        <w:br/>
      </w:r>
    </w:p>
    <w:p w14:paraId="51A463FB" w14:textId="77777777" w:rsidR="00E301B9" w:rsidRPr="00E301B9" w:rsidRDefault="00E301B9" w:rsidP="00E301B9">
      <w:pPr>
        <w:jc w:val="both"/>
        <w:rPr>
          <w:rFonts w:cs="Helvetica"/>
          <w:lang w:val="de-CH"/>
        </w:rPr>
      </w:pPr>
      <w:r w:rsidRPr="00E301B9">
        <w:rPr>
          <w:rFonts w:cs="Helvetica"/>
          <w:lang w:val="de-CH"/>
        </w:rPr>
        <w:t>Folgendes sollten Sie für den Krisenfall immer bereithalten (Liste nicht abschliessend):</w:t>
      </w:r>
    </w:p>
    <w:p w14:paraId="2A9C68C8" w14:textId="77777777" w:rsidR="00E301B9" w:rsidRPr="00E301B9" w:rsidRDefault="00E301B9" w:rsidP="00E301B9">
      <w:pPr>
        <w:jc w:val="both"/>
        <w:rPr>
          <w:rFonts w:cs="Helvetica"/>
          <w:b/>
          <w:bCs/>
          <w:lang w:val="de-CH"/>
        </w:rPr>
      </w:pPr>
      <w:r w:rsidRPr="00E301B9">
        <w:rPr>
          <w:rFonts w:cs="Helvetica"/>
          <w:b/>
          <w:bCs/>
          <w:lang w:val="de-CH"/>
        </w:rPr>
        <w:t>Wichtige Dokumente (inkl. Kopien dieser Dokumente)</w:t>
      </w:r>
    </w:p>
    <w:tbl>
      <w:tblPr>
        <w:tblStyle w:val="TableGrid"/>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73"/>
        <w:gridCol w:w="8394"/>
      </w:tblGrid>
      <w:tr w:rsidR="00E301B9" w:rsidRPr="00E301B9" w14:paraId="2FB51FF5" w14:textId="77777777" w:rsidTr="004D7167">
        <w:tc>
          <w:tcPr>
            <w:tcW w:w="562" w:type="dxa"/>
          </w:tcPr>
          <w:p w14:paraId="4D6C8DE8"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588CE189" w14:textId="77777777" w:rsidR="00E301B9" w:rsidRPr="00E301B9" w:rsidRDefault="00E301B9" w:rsidP="00E301B9">
            <w:pPr>
              <w:jc w:val="both"/>
              <w:rPr>
                <w:rFonts w:cs="Helvetica"/>
                <w:lang w:val="de-CH"/>
              </w:rPr>
            </w:pPr>
            <w:r w:rsidRPr="00E301B9">
              <w:rPr>
                <w:rFonts w:cs="Helvetica"/>
                <w:lang w:val="de-CH"/>
              </w:rPr>
              <w:t>gültige Reisepapiere</w:t>
            </w:r>
          </w:p>
        </w:tc>
      </w:tr>
      <w:tr w:rsidR="00E301B9" w:rsidRPr="00E301B9" w14:paraId="0A92584D" w14:textId="77777777" w:rsidTr="004D7167">
        <w:tc>
          <w:tcPr>
            <w:tcW w:w="562" w:type="dxa"/>
          </w:tcPr>
          <w:p w14:paraId="5297D604"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25FA3364" w14:textId="77777777" w:rsidR="00E301B9" w:rsidRPr="00E301B9" w:rsidRDefault="00E301B9" w:rsidP="00E301B9">
            <w:pPr>
              <w:jc w:val="both"/>
              <w:rPr>
                <w:rFonts w:cs="Helvetica"/>
                <w:lang w:val="de-CH"/>
              </w:rPr>
            </w:pPr>
            <w:r w:rsidRPr="00E301B9">
              <w:rPr>
                <w:rFonts w:cs="Helvetica"/>
                <w:lang w:val="de-CH"/>
              </w:rPr>
              <w:t>Führerschein und Fahrzeugpapiere</w:t>
            </w:r>
          </w:p>
        </w:tc>
      </w:tr>
      <w:tr w:rsidR="00E301B9" w:rsidRPr="00E301B9" w14:paraId="5BE34842" w14:textId="77777777" w:rsidTr="004D7167">
        <w:tc>
          <w:tcPr>
            <w:tcW w:w="562" w:type="dxa"/>
          </w:tcPr>
          <w:p w14:paraId="2B5234B3"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0BBC8FBF" w14:textId="77777777" w:rsidR="00E301B9" w:rsidRPr="00E301B9" w:rsidRDefault="00E301B9" w:rsidP="00E301B9">
            <w:pPr>
              <w:jc w:val="both"/>
              <w:rPr>
                <w:rFonts w:cs="Helvetica"/>
                <w:lang w:val="de-CH"/>
              </w:rPr>
            </w:pPr>
            <w:r w:rsidRPr="00E301B9">
              <w:rPr>
                <w:rFonts w:cs="Helvetica"/>
                <w:lang w:val="de-CH"/>
              </w:rPr>
              <w:t>Ausländerausweise</w:t>
            </w:r>
          </w:p>
        </w:tc>
      </w:tr>
      <w:tr w:rsidR="00E301B9" w:rsidRPr="00E301B9" w14:paraId="0AE34769" w14:textId="77777777" w:rsidTr="004D7167">
        <w:tc>
          <w:tcPr>
            <w:tcW w:w="562" w:type="dxa"/>
          </w:tcPr>
          <w:p w14:paraId="3957FCD2"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7F8ACCE4" w14:textId="77777777" w:rsidR="00E301B9" w:rsidRPr="00E301B9" w:rsidRDefault="00E301B9" w:rsidP="00E301B9">
            <w:pPr>
              <w:jc w:val="both"/>
              <w:rPr>
                <w:rFonts w:cs="Helvetica"/>
                <w:lang w:val="de-CH"/>
              </w:rPr>
            </w:pPr>
            <w:r w:rsidRPr="00E301B9">
              <w:rPr>
                <w:rFonts w:cs="Helvetica"/>
                <w:lang w:val="de-CH"/>
              </w:rPr>
              <w:t>gültige Visa</w:t>
            </w:r>
          </w:p>
        </w:tc>
      </w:tr>
    </w:tbl>
    <w:p w14:paraId="4C372EEE" w14:textId="77777777" w:rsidR="00E301B9" w:rsidRPr="00E301B9" w:rsidRDefault="00E301B9" w:rsidP="00E301B9">
      <w:pPr>
        <w:jc w:val="both"/>
        <w:rPr>
          <w:rFonts w:cs="Helvetica"/>
          <w:lang w:val="de-CH"/>
        </w:rPr>
      </w:pPr>
    </w:p>
    <w:p w14:paraId="7C104B9B" w14:textId="77777777" w:rsidR="00E301B9" w:rsidRPr="00E301B9" w:rsidRDefault="00E301B9" w:rsidP="00E301B9">
      <w:pPr>
        <w:jc w:val="both"/>
        <w:rPr>
          <w:rFonts w:cs="Helvetica"/>
          <w:b/>
          <w:bCs/>
          <w:lang w:val="de-CH"/>
        </w:rPr>
      </w:pPr>
      <w:r w:rsidRPr="00E301B9">
        <w:rPr>
          <w:rFonts w:cs="Helvetica"/>
          <w:b/>
          <w:bCs/>
          <w:lang w:val="de-CH"/>
        </w:rPr>
        <w:t>Finanzen</w:t>
      </w:r>
    </w:p>
    <w:tbl>
      <w:tblPr>
        <w:tblStyle w:val="TableGrid"/>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73"/>
        <w:gridCol w:w="8394"/>
      </w:tblGrid>
      <w:tr w:rsidR="00E301B9" w:rsidRPr="00E301B9" w14:paraId="1360C5D1" w14:textId="77777777" w:rsidTr="004D7167">
        <w:tc>
          <w:tcPr>
            <w:tcW w:w="562" w:type="dxa"/>
          </w:tcPr>
          <w:p w14:paraId="18316FC6"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3B99B926" w14:textId="77777777" w:rsidR="00E301B9" w:rsidRPr="00E301B9" w:rsidRDefault="00E301B9" w:rsidP="00E301B9">
            <w:pPr>
              <w:jc w:val="both"/>
              <w:rPr>
                <w:rFonts w:cs="Helvetica"/>
                <w:lang w:val="de-CH"/>
              </w:rPr>
            </w:pPr>
            <w:r w:rsidRPr="00E301B9">
              <w:rPr>
                <w:rFonts w:cs="Helvetica"/>
                <w:lang w:val="de-CH"/>
              </w:rPr>
              <w:t>Bargeld- und Devisenreserven</w:t>
            </w:r>
          </w:p>
        </w:tc>
      </w:tr>
      <w:tr w:rsidR="00E301B9" w:rsidRPr="00E301B9" w14:paraId="352284D1" w14:textId="77777777" w:rsidTr="004D7167">
        <w:tc>
          <w:tcPr>
            <w:tcW w:w="562" w:type="dxa"/>
          </w:tcPr>
          <w:p w14:paraId="0291A2B2"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281B29E2" w14:textId="77777777" w:rsidR="00E301B9" w:rsidRPr="00E301B9" w:rsidRDefault="00E301B9" w:rsidP="00E301B9">
            <w:pPr>
              <w:jc w:val="both"/>
              <w:rPr>
                <w:rFonts w:cs="Helvetica"/>
                <w:lang w:val="de-CH"/>
              </w:rPr>
            </w:pPr>
            <w:r w:rsidRPr="00E301B9">
              <w:rPr>
                <w:rFonts w:cs="Helvetica"/>
                <w:lang w:val="de-CH"/>
              </w:rPr>
              <w:t>Kreditkarte(n)</w:t>
            </w:r>
          </w:p>
        </w:tc>
      </w:tr>
      <w:tr w:rsidR="00E301B9" w:rsidRPr="00E301B9" w14:paraId="298DAF74" w14:textId="77777777" w:rsidTr="004D7167">
        <w:tc>
          <w:tcPr>
            <w:tcW w:w="562" w:type="dxa"/>
          </w:tcPr>
          <w:p w14:paraId="084E1BDF"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378FFA9A" w14:textId="77777777" w:rsidR="00E301B9" w:rsidRPr="00E301B9" w:rsidRDefault="00E301B9" w:rsidP="00E301B9">
            <w:pPr>
              <w:jc w:val="both"/>
              <w:rPr>
                <w:rFonts w:cs="Helvetica"/>
                <w:lang w:val="de-CH"/>
              </w:rPr>
            </w:pPr>
            <w:r w:rsidRPr="00E301B9">
              <w:rPr>
                <w:rFonts w:cs="Helvetica"/>
                <w:lang w:val="de-CH"/>
              </w:rPr>
              <w:t>Bankkarte(n)</w:t>
            </w:r>
          </w:p>
        </w:tc>
      </w:tr>
    </w:tbl>
    <w:p w14:paraId="3B90AFE3" w14:textId="77777777" w:rsidR="00E301B9" w:rsidRPr="00E301B9" w:rsidRDefault="00E301B9" w:rsidP="00E301B9">
      <w:pPr>
        <w:jc w:val="both"/>
        <w:rPr>
          <w:rFonts w:cs="Helvetica"/>
          <w:lang w:val="de-CH"/>
        </w:rPr>
      </w:pPr>
    </w:p>
    <w:p w14:paraId="38B85A87" w14:textId="77777777" w:rsidR="00E301B9" w:rsidRPr="00E301B9" w:rsidRDefault="00E301B9" w:rsidP="00E301B9">
      <w:pPr>
        <w:jc w:val="both"/>
        <w:rPr>
          <w:rFonts w:cs="Helvetica"/>
          <w:b/>
          <w:bCs/>
          <w:lang w:val="de-CH"/>
        </w:rPr>
      </w:pPr>
      <w:r w:rsidRPr="00E301B9">
        <w:rPr>
          <w:rFonts w:cs="Helvetica"/>
          <w:b/>
          <w:bCs/>
          <w:lang w:val="de-CH"/>
        </w:rPr>
        <w:t>Information und Kommunikation</w:t>
      </w:r>
    </w:p>
    <w:tbl>
      <w:tblPr>
        <w:tblStyle w:val="TableGrid"/>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73"/>
        <w:gridCol w:w="8394"/>
      </w:tblGrid>
      <w:tr w:rsidR="00E301B9" w:rsidRPr="00E301B9" w14:paraId="2AF7247C" w14:textId="77777777" w:rsidTr="004D7167">
        <w:tc>
          <w:tcPr>
            <w:tcW w:w="562" w:type="dxa"/>
          </w:tcPr>
          <w:p w14:paraId="1375B653"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25E05A5B" w14:textId="77777777" w:rsidR="00E301B9" w:rsidRPr="00E301B9" w:rsidRDefault="00E301B9" w:rsidP="00E301B9">
            <w:pPr>
              <w:jc w:val="both"/>
              <w:rPr>
                <w:rFonts w:cs="Helvetica"/>
                <w:lang w:val="de-CH"/>
              </w:rPr>
            </w:pPr>
            <w:r w:rsidRPr="00E301B9">
              <w:rPr>
                <w:rFonts w:cs="Helvetica"/>
                <w:lang w:val="de-CH"/>
              </w:rPr>
              <w:t>Liste mit wichtigen Telefon-/Notfallnummern</w:t>
            </w:r>
          </w:p>
        </w:tc>
      </w:tr>
      <w:tr w:rsidR="00E301B9" w:rsidRPr="00E301B9" w14:paraId="6EC749E8" w14:textId="77777777" w:rsidTr="004D7167">
        <w:tc>
          <w:tcPr>
            <w:tcW w:w="562" w:type="dxa"/>
          </w:tcPr>
          <w:p w14:paraId="663F7133"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2AE6AEA9" w14:textId="77777777" w:rsidR="00E301B9" w:rsidRPr="00E301B9" w:rsidRDefault="00E301B9" w:rsidP="00E301B9">
            <w:pPr>
              <w:jc w:val="both"/>
              <w:rPr>
                <w:rFonts w:cs="Helvetica"/>
                <w:lang w:val="de-CH"/>
              </w:rPr>
            </w:pPr>
            <w:r w:rsidRPr="00E301B9">
              <w:rPr>
                <w:rFonts w:cs="Helvetica"/>
                <w:lang w:val="de-CH"/>
              </w:rPr>
              <w:t xml:space="preserve">Mobiltelefon evtl. mit Reserve Akku oder power </w:t>
            </w:r>
            <w:proofErr w:type="spellStart"/>
            <w:r w:rsidRPr="00E301B9">
              <w:rPr>
                <w:rFonts w:cs="Helvetica"/>
                <w:lang w:val="de-CH"/>
              </w:rPr>
              <w:t>bank</w:t>
            </w:r>
            <w:proofErr w:type="spellEnd"/>
            <w:r w:rsidRPr="00E301B9">
              <w:rPr>
                <w:rFonts w:cs="Helvetica"/>
                <w:lang w:val="de-CH"/>
              </w:rPr>
              <w:t xml:space="preserve"> und ausreichendem Gesprächsguthaben</w:t>
            </w:r>
          </w:p>
        </w:tc>
      </w:tr>
      <w:tr w:rsidR="00E301B9" w:rsidRPr="00E301B9" w14:paraId="054B2751" w14:textId="77777777" w:rsidTr="004D7167">
        <w:tc>
          <w:tcPr>
            <w:tcW w:w="562" w:type="dxa"/>
          </w:tcPr>
          <w:p w14:paraId="6E6B322E"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2170F3F1" w14:textId="77777777" w:rsidR="00E301B9" w:rsidRPr="00E301B9" w:rsidRDefault="00E301B9" w:rsidP="00E301B9">
            <w:pPr>
              <w:jc w:val="both"/>
              <w:rPr>
                <w:rFonts w:cs="Helvetica"/>
                <w:lang w:val="de-CH"/>
              </w:rPr>
            </w:pPr>
            <w:r w:rsidRPr="00E301B9">
              <w:rPr>
                <w:rFonts w:cs="Helvetica"/>
                <w:lang w:val="de-CH"/>
              </w:rPr>
              <w:t>Batteriebetriebenes (Kurzwellen-) Radio mit Reservebatterien</w:t>
            </w:r>
          </w:p>
        </w:tc>
      </w:tr>
    </w:tbl>
    <w:p w14:paraId="2F2FFBD5" w14:textId="77777777" w:rsidR="00E301B9" w:rsidRPr="00E301B9" w:rsidRDefault="00E301B9" w:rsidP="00E301B9">
      <w:pPr>
        <w:jc w:val="both"/>
        <w:rPr>
          <w:rFonts w:cs="Helvetica"/>
          <w:lang w:val="de-CH"/>
        </w:rPr>
      </w:pPr>
    </w:p>
    <w:p w14:paraId="5EDCF710" w14:textId="77777777" w:rsidR="00E301B9" w:rsidRPr="00E301B9" w:rsidRDefault="00E301B9" w:rsidP="00E301B9">
      <w:pPr>
        <w:jc w:val="both"/>
        <w:rPr>
          <w:rFonts w:cs="Helvetica"/>
          <w:b/>
          <w:bCs/>
          <w:lang w:val="de-CH"/>
        </w:rPr>
      </w:pPr>
      <w:r w:rsidRPr="00E301B9">
        <w:rPr>
          <w:rFonts w:cs="Helvetica"/>
          <w:b/>
          <w:bCs/>
          <w:lang w:val="de-CH"/>
        </w:rPr>
        <w:t>Gesundheit</w:t>
      </w:r>
    </w:p>
    <w:tbl>
      <w:tblPr>
        <w:tblStyle w:val="TableGrid"/>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73"/>
        <w:gridCol w:w="8394"/>
      </w:tblGrid>
      <w:tr w:rsidR="00E301B9" w:rsidRPr="00E301B9" w14:paraId="36C5A866" w14:textId="77777777" w:rsidTr="004D7167">
        <w:tc>
          <w:tcPr>
            <w:tcW w:w="562" w:type="dxa"/>
          </w:tcPr>
          <w:p w14:paraId="5DFF151A"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1DD95CB1" w14:textId="77777777" w:rsidR="00E301B9" w:rsidRPr="00E301B9" w:rsidRDefault="00E301B9" w:rsidP="00E301B9">
            <w:pPr>
              <w:jc w:val="both"/>
              <w:rPr>
                <w:rFonts w:cs="Helvetica"/>
                <w:lang w:val="de-CH"/>
              </w:rPr>
            </w:pPr>
            <w:r w:rsidRPr="00E301B9">
              <w:rPr>
                <w:rFonts w:cs="Helvetica"/>
                <w:lang w:val="de-CH"/>
              </w:rPr>
              <w:t>Taschenapotheke mit wichtigen Medikamenten</w:t>
            </w:r>
          </w:p>
        </w:tc>
      </w:tr>
      <w:tr w:rsidR="00E301B9" w:rsidRPr="00E301B9" w14:paraId="3C00E796" w14:textId="77777777" w:rsidTr="004D7167">
        <w:tc>
          <w:tcPr>
            <w:tcW w:w="562" w:type="dxa"/>
          </w:tcPr>
          <w:p w14:paraId="57DA3070"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68811B4A" w14:textId="77777777" w:rsidR="00E301B9" w:rsidRPr="00E301B9" w:rsidRDefault="00E301B9" w:rsidP="00E301B9">
            <w:pPr>
              <w:jc w:val="both"/>
              <w:rPr>
                <w:rFonts w:cs="Helvetica"/>
                <w:lang w:val="de-CH"/>
              </w:rPr>
            </w:pPr>
            <w:r w:rsidRPr="00E301B9">
              <w:rPr>
                <w:rFonts w:cs="Helvetica"/>
                <w:lang w:val="de-CH"/>
              </w:rPr>
              <w:t>Blutgruppenkarte</w:t>
            </w:r>
          </w:p>
        </w:tc>
      </w:tr>
      <w:tr w:rsidR="00E301B9" w:rsidRPr="00E301B9" w14:paraId="240B2E16" w14:textId="77777777" w:rsidTr="004D7167">
        <w:tc>
          <w:tcPr>
            <w:tcW w:w="562" w:type="dxa"/>
          </w:tcPr>
          <w:p w14:paraId="09C12915"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5251B7F6" w14:textId="77777777" w:rsidR="00E301B9" w:rsidRPr="00E301B9" w:rsidRDefault="00E301B9" w:rsidP="00E301B9">
            <w:pPr>
              <w:jc w:val="both"/>
              <w:rPr>
                <w:rFonts w:cs="Helvetica"/>
                <w:lang w:val="de-CH"/>
              </w:rPr>
            </w:pPr>
            <w:r w:rsidRPr="00E301B9">
              <w:rPr>
                <w:rFonts w:cs="Helvetica"/>
                <w:lang w:val="de-CH"/>
              </w:rPr>
              <w:t>Impfausweis</w:t>
            </w:r>
          </w:p>
        </w:tc>
      </w:tr>
      <w:tr w:rsidR="00E301B9" w:rsidRPr="00E301B9" w14:paraId="71E8637B" w14:textId="77777777" w:rsidTr="004D7167">
        <w:tc>
          <w:tcPr>
            <w:tcW w:w="562" w:type="dxa"/>
          </w:tcPr>
          <w:p w14:paraId="5BF3D40A"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341A5980" w14:textId="77777777" w:rsidR="00E301B9" w:rsidRPr="00E301B9" w:rsidRDefault="00E301B9" w:rsidP="00E301B9">
            <w:pPr>
              <w:jc w:val="both"/>
              <w:rPr>
                <w:rFonts w:cs="Helvetica"/>
                <w:lang w:val="de-CH"/>
              </w:rPr>
            </w:pPr>
            <w:r w:rsidRPr="00E301B9">
              <w:rPr>
                <w:rFonts w:cs="Helvetica"/>
                <w:lang w:val="de-CH"/>
              </w:rPr>
              <w:t>Versicherungspolicen (Krankheit, Unfall, Repatriierung)</w:t>
            </w:r>
          </w:p>
        </w:tc>
      </w:tr>
    </w:tbl>
    <w:p w14:paraId="7B3D59AB" w14:textId="77777777" w:rsidR="00E301B9" w:rsidRPr="00E301B9" w:rsidRDefault="00E301B9" w:rsidP="00E301B9">
      <w:pPr>
        <w:jc w:val="both"/>
        <w:rPr>
          <w:rFonts w:cs="Helvetica"/>
          <w:lang w:val="de-CH"/>
        </w:rPr>
      </w:pPr>
    </w:p>
    <w:p w14:paraId="7BA5FC37" w14:textId="77777777" w:rsidR="00E301B9" w:rsidRPr="00E301B9" w:rsidRDefault="00E301B9" w:rsidP="00E301B9">
      <w:pPr>
        <w:jc w:val="both"/>
        <w:rPr>
          <w:rFonts w:cs="Helvetica"/>
          <w:b/>
          <w:bCs/>
          <w:lang w:val="de-CH"/>
        </w:rPr>
      </w:pPr>
      <w:r w:rsidRPr="00E301B9">
        <w:rPr>
          <w:rFonts w:cs="Helvetica"/>
          <w:b/>
          <w:bCs/>
          <w:lang w:val="de-CH"/>
        </w:rPr>
        <w:t>Notvorrat</w:t>
      </w:r>
    </w:p>
    <w:tbl>
      <w:tblPr>
        <w:tblStyle w:val="TableGrid"/>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73"/>
        <w:gridCol w:w="8394"/>
      </w:tblGrid>
      <w:tr w:rsidR="00E301B9" w:rsidRPr="00E301B9" w14:paraId="1D32FAA4" w14:textId="77777777" w:rsidTr="004D7167">
        <w:tc>
          <w:tcPr>
            <w:tcW w:w="562" w:type="dxa"/>
          </w:tcPr>
          <w:p w14:paraId="29C9B701"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3A7E5FEE" w14:textId="77777777" w:rsidR="00E301B9" w:rsidRPr="00E301B9" w:rsidRDefault="00E301B9" w:rsidP="00E301B9">
            <w:pPr>
              <w:jc w:val="both"/>
              <w:rPr>
                <w:rFonts w:cs="Helvetica"/>
                <w:lang w:val="de-CH"/>
              </w:rPr>
            </w:pPr>
            <w:r w:rsidRPr="00E301B9">
              <w:rPr>
                <w:rFonts w:cs="Helvetica"/>
                <w:lang w:val="de-CH"/>
              </w:rPr>
              <w:t>Trinkwasser</w:t>
            </w:r>
          </w:p>
        </w:tc>
      </w:tr>
      <w:tr w:rsidR="00E301B9" w:rsidRPr="00E301B9" w14:paraId="38F695D6" w14:textId="77777777" w:rsidTr="004D7167">
        <w:tc>
          <w:tcPr>
            <w:tcW w:w="562" w:type="dxa"/>
          </w:tcPr>
          <w:p w14:paraId="47C61C80"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164039D0" w14:textId="77777777" w:rsidR="00E301B9" w:rsidRPr="00E301B9" w:rsidRDefault="00E301B9" w:rsidP="00E301B9">
            <w:pPr>
              <w:jc w:val="both"/>
              <w:rPr>
                <w:rFonts w:cs="Helvetica"/>
                <w:lang w:val="de-CH"/>
              </w:rPr>
            </w:pPr>
            <w:r w:rsidRPr="00E301B9">
              <w:rPr>
                <w:rFonts w:cs="Helvetica"/>
                <w:lang w:val="de-CH"/>
              </w:rPr>
              <w:t>Lebensmittel (evtl. Notkocher)</w:t>
            </w:r>
          </w:p>
        </w:tc>
      </w:tr>
      <w:tr w:rsidR="00E301B9" w:rsidRPr="00E301B9" w14:paraId="620B74A9" w14:textId="77777777" w:rsidTr="004D7167">
        <w:tc>
          <w:tcPr>
            <w:tcW w:w="562" w:type="dxa"/>
          </w:tcPr>
          <w:p w14:paraId="66DF1233" w14:textId="77777777" w:rsidR="00E301B9" w:rsidRPr="00E301B9" w:rsidRDefault="00E301B9" w:rsidP="00E301B9">
            <w:pPr>
              <w:jc w:val="both"/>
              <w:rPr>
                <w:rFonts w:cs="Helvetica"/>
                <w:lang w:val="de-CH"/>
              </w:rPr>
            </w:pPr>
            <w:r w:rsidRPr="00E301B9">
              <w:rPr>
                <w:rFonts w:ascii="Segoe UI Symbol" w:hAnsi="Segoe UI Symbol" w:cs="Segoe UI Symbol"/>
                <w:lang w:val="de-CH"/>
              </w:rPr>
              <w:t>☐</w:t>
            </w:r>
          </w:p>
        </w:tc>
        <w:tc>
          <w:tcPr>
            <w:tcW w:w="8505" w:type="dxa"/>
          </w:tcPr>
          <w:p w14:paraId="16CA181B" w14:textId="77777777" w:rsidR="00E301B9" w:rsidRPr="00E301B9" w:rsidRDefault="00E301B9" w:rsidP="00E301B9">
            <w:pPr>
              <w:jc w:val="both"/>
              <w:rPr>
                <w:rFonts w:cs="Helvetica"/>
                <w:lang w:val="de-CH"/>
              </w:rPr>
            </w:pPr>
            <w:r w:rsidRPr="00E301B9">
              <w:rPr>
                <w:rFonts w:cs="Helvetica"/>
                <w:lang w:val="de-CH"/>
              </w:rPr>
              <w:t>Treibstoff</w:t>
            </w:r>
          </w:p>
        </w:tc>
      </w:tr>
    </w:tbl>
    <w:p w14:paraId="6C8761B7" w14:textId="77777777" w:rsidR="00E301B9" w:rsidRPr="00E301B9" w:rsidRDefault="00E301B9" w:rsidP="00E301B9">
      <w:pPr>
        <w:jc w:val="both"/>
        <w:rPr>
          <w:rFonts w:cs="Helvetica"/>
          <w:lang w:val="de-CH"/>
        </w:rPr>
      </w:pPr>
    </w:p>
    <w:p w14:paraId="20BCA005" w14:textId="77777777" w:rsidR="00E301B9" w:rsidRPr="00E301B9" w:rsidRDefault="00E301B9" w:rsidP="00E301B9">
      <w:pPr>
        <w:jc w:val="both"/>
        <w:rPr>
          <w:rFonts w:cs="Helvetica"/>
          <w:lang w:val="de-CH"/>
        </w:rPr>
      </w:pPr>
    </w:p>
    <w:p w14:paraId="7F53A113" w14:textId="77777777" w:rsidR="00E301B9" w:rsidRDefault="00E301B9" w:rsidP="00E301B9">
      <w:pPr>
        <w:jc w:val="both"/>
        <w:rPr>
          <w:rFonts w:cs="Helvetica"/>
          <w:lang w:val="de-CH"/>
        </w:rPr>
      </w:pPr>
      <w:r w:rsidRPr="00E301B9">
        <w:rPr>
          <w:rFonts w:cs="Helvetica"/>
          <w:lang w:val="de-CH"/>
        </w:rPr>
        <w:t>Durch verschiedene vorbeugende Massnahmen können Sie das Schadensrisiko verringern (Liste nicht abschliessend):</w:t>
      </w:r>
    </w:p>
    <w:p w14:paraId="73196F11" w14:textId="77777777" w:rsidR="00E301B9" w:rsidRPr="00E301B9" w:rsidRDefault="00E301B9" w:rsidP="00E301B9">
      <w:pPr>
        <w:jc w:val="both"/>
        <w:rPr>
          <w:rFonts w:cs="Helvetica"/>
          <w:lang w:val="de-CH"/>
        </w:rPr>
      </w:pPr>
    </w:p>
    <w:p w14:paraId="46575E1F" w14:textId="77777777" w:rsidR="00E301B9" w:rsidRPr="00E301B9" w:rsidRDefault="00E301B9" w:rsidP="00E301B9">
      <w:pPr>
        <w:numPr>
          <w:ilvl w:val="0"/>
          <w:numId w:val="20"/>
        </w:numPr>
        <w:jc w:val="both"/>
        <w:rPr>
          <w:rFonts w:cs="Helvetica"/>
          <w:lang w:val="de-CH"/>
        </w:rPr>
      </w:pPr>
      <w:r w:rsidRPr="00E301B9">
        <w:rPr>
          <w:rFonts w:cs="Helvetica"/>
          <w:lang w:val="de-CH"/>
        </w:rPr>
        <w:t xml:space="preserve">Haus und Einrichtung/Anlagen auf </w:t>
      </w:r>
      <w:r w:rsidRPr="00E301B9">
        <w:rPr>
          <w:rFonts w:cs="Helvetica"/>
          <w:u w:val="single"/>
          <w:lang w:val="de-CH"/>
        </w:rPr>
        <w:t>Erdbeben-, Feuer-, Überschwemmungs- und Sturmsicherheit</w:t>
      </w:r>
      <w:r w:rsidRPr="00E301B9">
        <w:rPr>
          <w:rFonts w:cs="Helvetica"/>
          <w:lang w:val="de-CH"/>
        </w:rPr>
        <w:t xml:space="preserve"> überprüfen lassen und Brandmelder installieren.</w:t>
      </w:r>
    </w:p>
    <w:p w14:paraId="20C2ADCB" w14:textId="77777777" w:rsidR="00E301B9" w:rsidRPr="00E301B9" w:rsidRDefault="00E301B9" w:rsidP="00E301B9">
      <w:pPr>
        <w:numPr>
          <w:ilvl w:val="0"/>
          <w:numId w:val="20"/>
        </w:numPr>
        <w:jc w:val="both"/>
        <w:rPr>
          <w:rFonts w:cs="Helvetica"/>
          <w:lang w:val="de-CH"/>
        </w:rPr>
      </w:pPr>
      <w:r w:rsidRPr="00E301B9">
        <w:rPr>
          <w:rFonts w:cs="Helvetica"/>
          <w:lang w:val="de-CH"/>
        </w:rPr>
        <w:t xml:space="preserve">Sichern Sie Wände, Türen und Fenster </w:t>
      </w:r>
      <w:r w:rsidRPr="00E301B9">
        <w:rPr>
          <w:rFonts w:cs="Helvetica"/>
          <w:u w:val="single"/>
          <w:lang w:val="de-CH"/>
        </w:rPr>
        <w:t>gegen unbefugtes Eindringen</w:t>
      </w:r>
      <w:r w:rsidRPr="00E301B9">
        <w:rPr>
          <w:rFonts w:cs="Helvetica"/>
          <w:lang w:val="de-CH"/>
        </w:rPr>
        <w:t>.</w:t>
      </w:r>
    </w:p>
    <w:p w14:paraId="6792191D" w14:textId="77777777" w:rsidR="00E301B9" w:rsidRPr="00E301B9" w:rsidRDefault="00E301B9" w:rsidP="00E301B9">
      <w:pPr>
        <w:numPr>
          <w:ilvl w:val="0"/>
          <w:numId w:val="20"/>
        </w:numPr>
        <w:jc w:val="both"/>
        <w:rPr>
          <w:rFonts w:cs="Helvetica"/>
          <w:lang w:val="de-CH"/>
        </w:rPr>
      </w:pPr>
      <w:r w:rsidRPr="00E301B9">
        <w:rPr>
          <w:rFonts w:cs="Helvetica"/>
          <w:lang w:val="de-CH"/>
        </w:rPr>
        <w:t xml:space="preserve">Vereinbaren Sie mit Ihrer Familie einen </w:t>
      </w:r>
      <w:r w:rsidRPr="00E301B9">
        <w:rPr>
          <w:rFonts w:cs="Helvetica"/>
          <w:u w:val="single"/>
          <w:lang w:val="de-CH"/>
        </w:rPr>
        <w:t>Treffpunkt</w:t>
      </w:r>
      <w:r w:rsidRPr="00E301B9">
        <w:rPr>
          <w:rFonts w:cs="Helvetica"/>
          <w:lang w:val="de-CH"/>
        </w:rPr>
        <w:t xml:space="preserve"> für den Fall, dass der Zugang zu Ihrem Haus nicht möglich ist.</w:t>
      </w:r>
    </w:p>
    <w:p w14:paraId="6ADA5B9A" w14:textId="77777777" w:rsidR="00E301B9" w:rsidRPr="00E301B9" w:rsidRDefault="00E301B9" w:rsidP="00E301B9">
      <w:pPr>
        <w:numPr>
          <w:ilvl w:val="0"/>
          <w:numId w:val="20"/>
        </w:numPr>
        <w:jc w:val="both"/>
        <w:rPr>
          <w:rFonts w:cs="Helvetica"/>
          <w:lang w:val="de-CH"/>
        </w:rPr>
      </w:pPr>
      <w:r w:rsidRPr="00E301B9">
        <w:rPr>
          <w:rFonts w:cs="Helvetica"/>
          <w:lang w:val="de-CH"/>
        </w:rPr>
        <w:t xml:space="preserve">Klären Sie </w:t>
      </w:r>
      <w:r w:rsidRPr="00E301B9">
        <w:rPr>
          <w:rFonts w:cs="Helvetica"/>
          <w:u w:val="single"/>
          <w:lang w:val="de-CH"/>
        </w:rPr>
        <w:t>Fluchtwege</w:t>
      </w:r>
      <w:r w:rsidRPr="00E301B9">
        <w:rPr>
          <w:rFonts w:cs="Helvetica"/>
          <w:lang w:val="de-CH"/>
        </w:rPr>
        <w:t xml:space="preserve"> zu einem sicheren Zufluchtsort im Inland oder in ein sicheres Drittland ab.</w:t>
      </w:r>
    </w:p>
    <w:p w14:paraId="55F91CA1" w14:textId="77777777" w:rsidR="00E301B9" w:rsidRPr="00E301B9" w:rsidRDefault="00E301B9" w:rsidP="00E301B9">
      <w:pPr>
        <w:numPr>
          <w:ilvl w:val="0"/>
          <w:numId w:val="20"/>
        </w:numPr>
        <w:jc w:val="both"/>
        <w:rPr>
          <w:rFonts w:cs="Helvetica"/>
          <w:lang w:val="de-CH"/>
        </w:rPr>
      </w:pPr>
      <w:r w:rsidRPr="00E301B9">
        <w:rPr>
          <w:rFonts w:cs="Helvetica"/>
          <w:lang w:val="de-CH"/>
        </w:rPr>
        <w:t xml:space="preserve">Informieren Sie uns laufend über Adressänderungen, neue Telefonnummern (auch Mobiltelefonnummern im Ausland und in der Schweiz) und E-Mail-Adressen, damit wir Sie im Notfall erreichen können. Sie können dies auch selbständig über den </w:t>
      </w:r>
      <w:hyperlink r:id="rId17" w:history="1">
        <w:r w:rsidRPr="00E301B9">
          <w:rPr>
            <w:rStyle w:val="Hyperlink"/>
            <w:rFonts w:ascii="Arial" w:hAnsi="Arial" w:cs="Helvetica"/>
            <w:lang w:val="de-CH"/>
          </w:rPr>
          <w:t>Online-Schalter</w:t>
        </w:r>
      </w:hyperlink>
      <w:r w:rsidRPr="00E301B9">
        <w:rPr>
          <w:rFonts w:cs="Helvetica"/>
          <w:lang w:val="de-CH"/>
        </w:rPr>
        <w:t xml:space="preserve"> tun. </w:t>
      </w:r>
    </w:p>
    <w:p w14:paraId="50CC25BA" w14:textId="77777777" w:rsidR="00E301B9" w:rsidRDefault="00E301B9" w:rsidP="00E301B9">
      <w:pPr>
        <w:jc w:val="both"/>
        <w:rPr>
          <w:rFonts w:cs="Helvetica"/>
          <w:lang w:val="de-CH"/>
        </w:rPr>
      </w:pPr>
    </w:p>
    <w:p w14:paraId="369C70BE" w14:textId="77777777" w:rsidR="00E301B9" w:rsidRPr="00E301B9" w:rsidRDefault="00E301B9" w:rsidP="00E301B9">
      <w:pPr>
        <w:jc w:val="both"/>
        <w:rPr>
          <w:rFonts w:cs="Helvetica"/>
          <w:lang w:val="de-CH"/>
        </w:rPr>
      </w:pPr>
    </w:p>
    <w:p w14:paraId="42D03739" w14:textId="0CA2710E" w:rsidR="00E301B9" w:rsidRPr="00E301B9" w:rsidRDefault="00E301B9" w:rsidP="00E301B9">
      <w:pPr>
        <w:rPr>
          <w:rFonts w:cs="Helvetica"/>
          <w:b/>
          <w:lang w:val="de-CH"/>
        </w:rPr>
      </w:pPr>
      <w:r w:rsidRPr="00E301B9">
        <w:rPr>
          <w:rFonts w:cs="Helvetica"/>
          <w:b/>
          <w:lang w:val="de-CH"/>
        </w:rPr>
        <w:t>4. Verhalten im Krisenfall</w:t>
      </w:r>
      <w:r>
        <w:rPr>
          <w:rFonts w:cs="Helvetica"/>
          <w:b/>
          <w:lang w:val="de-CH"/>
        </w:rPr>
        <w:br/>
      </w:r>
    </w:p>
    <w:p w14:paraId="48E359B4" w14:textId="77777777" w:rsidR="00E301B9" w:rsidRPr="00E301B9" w:rsidRDefault="00E301B9" w:rsidP="00E301B9">
      <w:pPr>
        <w:numPr>
          <w:ilvl w:val="0"/>
          <w:numId w:val="21"/>
        </w:numPr>
        <w:jc w:val="both"/>
        <w:rPr>
          <w:rFonts w:cs="Helvetica"/>
          <w:lang w:val="de-CH"/>
        </w:rPr>
      </w:pPr>
      <w:r w:rsidRPr="00E301B9">
        <w:rPr>
          <w:rFonts w:cs="Helvetica"/>
          <w:lang w:val="de-CH"/>
        </w:rPr>
        <w:t>Informieren Sie sich über die aktuelle Lage, insbesondere über die lokalen Medien, die Mitteilungen der lokalen Behörden und die Internetseiten des EDA.</w:t>
      </w:r>
    </w:p>
    <w:p w14:paraId="54F5199E" w14:textId="77777777" w:rsidR="00E301B9" w:rsidRPr="00E301B9" w:rsidRDefault="00E301B9" w:rsidP="00E301B9">
      <w:pPr>
        <w:numPr>
          <w:ilvl w:val="0"/>
          <w:numId w:val="21"/>
        </w:numPr>
        <w:jc w:val="both"/>
        <w:rPr>
          <w:rFonts w:cs="Helvetica"/>
          <w:lang w:val="de-CH"/>
        </w:rPr>
      </w:pPr>
      <w:r w:rsidRPr="00E301B9">
        <w:rPr>
          <w:rFonts w:cs="Helvetica"/>
          <w:lang w:val="de-CH"/>
        </w:rPr>
        <w:t>Befolgen Sie im Krisenfall die Anweisungen der lokalen Behörden, zum Beispiel betreffend Vorsichtsmassnahmen, Sperrzonen, Evakuierungen usw.</w:t>
      </w:r>
    </w:p>
    <w:p w14:paraId="59E4AA53" w14:textId="77777777" w:rsidR="00E301B9" w:rsidRPr="00E301B9" w:rsidRDefault="00E301B9" w:rsidP="00E301B9">
      <w:pPr>
        <w:numPr>
          <w:ilvl w:val="0"/>
          <w:numId w:val="21"/>
        </w:numPr>
        <w:jc w:val="both"/>
        <w:rPr>
          <w:rFonts w:cs="Helvetica"/>
          <w:lang w:val="de-CH"/>
        </w:rPr>
      </w:pPr>
      <w:r w:rsidRPr="00E301B9">
        <w:rPr>
          <w:rFonts w:cs="Helvetica"/>
          <w:lang w:val="de-CH"/>
        </w:rPr>
        <w:t xml:space="preserve">Meiden Sie Demonstrationen, Ausschreitungen und grosse Menschenansammlungen jeder Art. </w:t>
      </w:r>
    </w:p>
    <w:p w14:paraId="34670985" w14:textId="77777777" w:rsidR="00E301B9" w:rsidRPr="00E301B9" w:rsidRDefault="00E301B9" w:rsidP="00E301B9">
      <w:pPr>
        <w:numPr>
          <w:ilvl w:val="0"/>
          <w:numId w:val="21"/>
        </w:numPr>
        <w:jc w:val="both"/>
        <w:rPr>
          <w:rFonts w:cs="Helvetica"/>
          <w:lang w:val="de-CH"/>
        </w:rPr>
      </w:pPr>
      <w:r w:rsidRPr="00E301B9">
        <w:rPr>
          <w:rFonts w:cs="Helvetica"/>
          <w:lang w:val="de-CH"/>
        </w:rPr>
        <w:t>Bleiben Sie in Kontakt mit Ihren Angehörigen.</w:t>
      </w:r>
    </w:p>
    <w:p w14:paraId="6FE50536" w14:textId="77777777" w:rsidR="00E301B9" w:rsidRPr="00E301B9" w:rsidRDefault="00E301B9" w:rsidP="00E301B9">
      <w:pPr>
        <w:numPr>
          <w:ilvl w:val="0"/>
          <w:numId w:val="21"/>
        </w:numPr>
        <w:jc w:val="both"/>
        <w:rPr>
          <w:rFonts w:cs="Helvetica"/>
          <w:lang w:val="de-CH"/>
        </w:rPr>
      </w:pPr>
      <w:r w:rsidRPr="00E301B9">
        <w:rPr>
          <w:rFonts w:cs="Helvetica"/>
          <w:lang w:val="de-CH"/>
        </w:rPr>
        <w:t>Beachten Sie die Reisehinweise des EDA.</w:t>
      </w:r>
    </w:p>
    <w:p w14:paraId="4005D6E9" w14:textId="77777777" w:rsidR="00E301B9" w:rsidRPr="00E301B9" w:rsidRDefault="00E301B9" w:rsidP="00E301B9">
      <w:pPr>
        <w:numPr>
          <w:ilvl w:val="0"/>
          <w:numId w:val="21"/>
        </w:numPr>
        <w:jc w:val="both"/>
        <w:rPr>
          <w:rFonts w:cs="Helvetica"/>
          <w:lang w:val="de-CH"/>
        </w:rPr>
      </w:pPr>
      <w:r w:rsidRPr="00E301B9">
        <w:rPr>
          <w:rFonts w:cs="Helvetica"/>
          <w:lang w:val="de-CH"/>
        </w:rPr>
        <w:t>Beachten Sie die Sicherheitsempfehlungen des EDA. Bei anhaltenden Krisensituationen kann das EDA Schweizer Staatsangehörigen empfehlen, das Krisengebiet zu verlassen.</w:t>
      </w:r>
    </w:p>
    <w:p w14:paraId="3B1290DF" w14:textId="77777777" w:rsidR="00E301B9" w:rsidRPr="00E301B9" w:rsidRDefault="00E301B9" w:rsidP="00E301B9">
      <w:pPr>
        <w:numPr>
          <w:ilvl w:val="0"/>
          <w:numId w:val="21"/>
        </w:numPr>
        <w:jc w:val="both"/>
        <w:rPr>
          <w:rFonts w:cs="Helvetica"/>
          <w:lang w:val="de-CH"/>
        </w:rPr>
      </w:pPr>
      <w:r w:rsidRPr="00E301B9">
        <w:rPr>
          <w:rFonts w:cs="Helvetica"/>
          <w:lang w:val="de-CH"/>
        </w:rPr>
        <w:lastRenderedPageBreak/>
        <w:t>Die Entscheidung, ein Krisengebiet zu verlassen, treffen Schweizer Staatsangehörige eigenverantwortlich, freiwillig, auf eigenes Risiko und auf eigene Kosten.</w:t>
      </w:r>
    </w:p>
    <w:p w14:paraId="524C87E3" w14:textId="77777777" w:rsidR="00E301B9" w:rsidRPr="00E301B9" w:rsidRDefault="00E301B9" w:rsidP="00E301B9">
      <w:pPr>
        <w:numPr>
          <w:ilvl w:val="0"/>
          <w:numId w:val="21"/>
        </w:numPr>
        <w:jc w:val="both"/>
        <w:rPr>
          <w:rFonts w:cs="Helvetica"/>
          <w:lang w:val="de-CH"/>
        </w:rPr>
      </w:pPr>
      <w:r w:rsidRPr="00E301B9">
        <w:rPr>
          <w:rFonts w:cs="Helvetica"/>
          <w:lang w:val="de-CH"/>
        </w:rPr>
        <w:t xml:space="preserve">Krisen können sehr schnell eskalieren, Fluchtwege können blockiert und eine (sichere) Ausreise aus dem Land oder einem Landesteil nicht mehr möglich sein. Verlassen Sie bei einer Verschlechterung der Sicherheitslage das Land/den Landesteil, solange dies noch möglich ist und kommerzielle Transportmittel zur Verfügung stehen. </w:t>
      </w:r>
    </w:p>
    <w:p w14:paraId="5D05F73D" w14:textId="77777777" w:rsidR="00E301B9" w:rsidRPr="00E301B9" w:rsidRDefault="00E301B9" w:rsidP="00E301B9">
      <w:pPr>
        <w:numPr>
          <w:ilvl w:val="0"/>
          <w:numId w:val="21"/>
        </w:numPr>
        <w:jc w:val="both"/>
        <w:rPr>
          <w:rFonts w:cs="Helvetica"/>
          <w:lang w:val="de-CH"/>
        </w:rPr>
      </w:pPr>
      <w:r w:rsidRPr="00E301B9">
        <w:rPr>
          <w:rFonts w:cs="Helvetica"/>
          <w:lang w:val="de-CH"/>
        </w:rPr>
        <w:t xml:space="preserve">Seien Sie sich bewusst, dass je nach Situation vor Ort unsere Möglichkeiten Sie im Krisenfall zu unterstützen, eingeschränkt oder – im schlimmsten Fall – gar nicht vorhanden sind. </w:t>
      </w:r>
    </w:p>
    <w:p w14:paraId="48EACEF4" w14:textId="77777777" w:rsidR="00E301B9" w:rsidRDefault="00E301B9" w:rsidP="00E301B9">
      <w:pPr>
        <w:jc w:val="both"/>
        <w:rPr>
          <w:rFonts w:cs="Helvetica"/>
          <w:lang w:val="de-CH"/>
        </w:rPr>
      </w:pPr>
    </w:p>
    <w:p w14:paraId="0EF16898" w14:textId="77777777" w:rsidR="00E301B9" w:rsidRPr="00E301B9" w:rsidRDefault="00E301B9" w:rsidP="00E301B9">
      <w:pPr>
        <w:jc w:val="both"/>
        <w:rPr>
          <w:rFonts w:cs="Helvetica"/>
          <w:lang w:val="de-CH"/>
        </w:rPr>
      </w:pPr>
    </w:p>
    <w:p w14:paraId="731240C7" w14:textId="4ED7EFF7" w:rsidR="00E301B9" w:rsidRPr="00E301B9" w:rsidRDefault="00E301B9" w:rsidP="00E301B9">
      <w:pPr>
        <w:rPr>
          <w:rFonts w:cs="Helvetica"/>
          <w:lang w:val="fr-CH"/>
        </w:rPr>
      </w:pPr>
      <w:r w:rsidRPr="00E301B9">
        <w:rPr>
          <w:rFonts w:cs="Helvetica"/>
          <w:b/>
          <w:lang w:val="fr-CH"/>
        </w:rPr>
        <w:t xml:space="preserve">5. Travel </w:t>
      </w:r>
      <w:proofErr w:type="gramStart"/>
      <w:r w:rsidRPr="00E301B9">
        <w:rPr>
          <w:rFonts w:cs="Helvetica"/>
          <w:b/>
          <w:lang w:val="fr-CH"/>
        </w:rPr>
        <w:t>Admin</w:t>
      </w:r>
      <w:r w:rsidRPr="00E301B9">
        <w:rPr>
          <w:rFonts w:cs="Helvetica"/>
          <w:lang w:val="fr-CH"/>
        </w:rPr>
        <w:t>:</w:t>
      </w:r>
      <w:proofErr w:type="gramEnd"/>
      <w:r w:rsidRPr="00E301B9">
        <w:rPr>
          <w:rFonts w:cs="Helvetica"/>
          <w:lang w:val="fr-CH"/>
        </w:rPr>
        <w:t xml:space="preserve"> </w:t>
      </w:r>
      <w:hyperlink r:id="rId18" w:history="1">
        <w:proofErr w:type="spellStart"/>
        <w:r w:rsidRPr="00E301B9">
          <w:rPr>
            <w:rStyle w:val="Hyperlink"/>
            <w:rFonts w:ascii="Arial" w:hAnsi="Arial" w:cs="Helvetica"/>
            <w:lang w:val="fr-CH"/>
          </w:rPr>
          <w:t>Informationen</w:t>
        </w:r>
        <w:proofErr w:type="spellEnd"/>
        <w:r w:rsidRPr="00E301B9">
          <w:rPr>
            <w:rStyle w:val="Hyperlink"/>
            <w:rFonts w:ascii="Arial" w:hAnsi="Arial" w:cs="Helvetica"/>
            <w:lang w:val="fr-CH"/>
          </w:rPr>
          <w:t xml:space="preserve"> Travel Admin</w:t>
        </w:r>
      </w:hyperlink>
      <w:r w:rsidRPr="00E301B9">
        <w:rPr>
          <w:rFonts w:cs="Helvetica"/>
          <w:lang w:val="fr-CH"/>
        </w:rPr>
        <w:br/>
      </w:r>
    </w:p>
    <w:p w14:paraId="1E4BFFD7" w14:textId="77777777" w:rsidR="00E301B9" w:rsidRPr="00E301B9" w:rsidRDefault="00E301B9" w:rsidP="00E301B9">
      <w:pPr>
        <w:jc w:val="both"/>
        <w:rPr>
          <w:rFonts w:cs="Helvetica"/>
          <w:lang w:val="de-CH"/>
        </w:rPr>
      </w:pPr>
      <w:r w:rsidRPr="00E301B9">
        <w:rPr>
          <w:rFonts w:cs="Helvetica"/>
          <w:lang w:val="de-CH"/>
        </w:rPr>
        <w:t xml:space="preserve">Sie und Ihre Familienangehörigen können die Daten Ihrer kurzfristigen Aufenthalte ausserhalb Ihres Gastlandes auf diesem Portal erfassen. Bitten Sie auch </w:t>
      </w:r>
      <w:r w:rsidRPr="00E301B9">
        <w:rPr>
          <w:rFonts w:cs="Helvetica"/>
          <w:u w:val="single"/>
          <w:lang w:val="de-CH"/>
        </w:rPr>
        <w:t>Ihre Besucher aus der Schweiz, ihre Reise auf Travel Admin zu registrieren.</w:t>
      </w:r>
      <w:r w:rsidRPr="00E301B9">
        <w:rPr>
          <w:rFonts w:cs="Helvetica"/>
          <w:lang w:val="de-CH"/>
        </w:rPr>
        <w:t xml:space="preserve"> Diese Angaben helfen dem EDA, Sie im Falle einer Krise im Ausland zu kontaktieren und Ihnen wichtige Informationen zur Selbsthilfe zukommen zu lassen. </w:t>
      </w:r>
    </w:p>
    <w:p w14:paraId="64A2A429" w14:textId="77777777" w:rsidR="00E301B9" w:rsidRDefault="00E301B9" w:rsidP="00E301B9">
      <w:pPr>
        <w:jc w:val="both"/>
        <w:rPr>
          <w:rFonts w:cs="Helvetica"/>
          <w:lang w:val="de-CH"/>
        </w:rPr>
      </w:pPr>
    </w:p>
    <w:p w14:paraId="06C7792A" w14:textId="77777777" w:rsidR="00E301B9" w:rsidRPr="00E301B9" w:rsidRDefault="00E301B9" w:rsidP="00E301B9">
      <w:pPr>
        <w:jc w:val="both"/>
        <w:rPr>
          <w:rFonts w:cs="Helvetica"/>
          <w:lang w:val="de-CH"/>
        </w:rPr>
      </w:pPr>
    </w:p>
    <w:p w14:paraId="4E80968E" w14:textId="77777777" w:rsidR="00E301B9" w:rsidRDefault="00E301B9" w:rsidP="00E301B9">
      <w:pPr>
        <w:jc w:val="both"/>
        <w:rPr>
          <w:rFonts w:cs="Helvetica"/>
          <w:lang w:val="de-CH"/>
        </w:rPr>
      </w:pPr>
      <w:r w:rsidRPr="00E301B9">
        <w:rPr>
          <w:rFonts w:cs="Helvetica"/>
          <w:b/>
          <w:lang w:val="de-CH"/>
        </w:rPr>
        <w:t>6. Nützliche Kontakte</w:t>
      </w:r>
      <w:r w:rsidRPr="00E301B9">
        <w:rPr>
          <w:rFonts w:cs="Helvetica"/>
          <w:lang w:val="de-CH"/>
        </w:rPr>
        <w:t xml:space="preserve"> </w:t>
      </w:r>
    </w:p>
    <w:p w14:paraId="31851DF2" w14:textId="77777777" w:rsidR="00E301B9" w:rsidRPr="00E301B9" w:rsidRDefault="00E301B9" w:rsidP="00E301B9">
      <w:pPr>
        <w:jc w:val="both"/>
        <w:rPr>
          <w:rFonts w:cs="Helvetica"/>
          <w:lang w:val="de-CH"/>
        </w:rPr>
      </w:pPr>
    </w:p>
    <w:p w14:paraId="31656B11" w14:textId="77777777" w:rsidR="00E301B9" w:rsidRPr="00E301B9" w:rsidRDefault="00E301B9" w:rsidP="00E301B9">
      <w:pPr>
        <w:jc w:val="both"/>
        <w:rPr>
          <w:rFonts w:cs="Helvetica"/>
          <w:lang w:val="de-CH"/>
        </w:rPr>
      </w:pPr>
      <w:r w:rsidRPr="00E301B9">
        <w:rPr>
          <w:rFonts w:cs="Helvetica"/>
          <w:lang w:val="de-CH"/>
        </w:rPr>
        <w:t xml:space="preserve">Rufen Sie </w:t>
      </w:r>
      <w:r w:rsidRPr="00E301B9">
        <w:rPr>
          <w:rFonts w:cs="Helvetica"/>
          <w:b/>
          <w:bCs/>
          <w:color w:val="FF0000"/>
          <w:lang w:val="de-CH"/>
        </w:rPr>
        <w:t>911</w:t>
      </w:r>
      <w:r w:rsidRPr="00E301B9">
        <w:rPr>
          <w:rFonts w:cs="Helvetica"/>
          <w:lang w:val="de-CH"/>
        </w:rPr>
        <w:t xml:space="preserve"> für Notfälle, Polizei, Krankenwagen, Feuerwehr, Gas usw. an.</w:t>
      </w:r>
    </w:p>
    <w:p w14:paraId="506A2224" w14:textId="4A1C0E82" w:rsidR="00E301B9" w:rsidRPr="00E301B9" w:rsidRDefault="00E301B9" w:rsidP="00E301B9">
      <w:pPr>
        <w:jc w:val="both"/>
        <w:rPr>
          <w:rFonts w:cs="Helvetica"/>
          <w:lang w:val="de-CH"/>
        </w:rPr>
      </w:pPr>
    </w:p>
    <w:p w14:paraId="12AC9878" w14:textId="77777777" w:rsidR="00E301B9" w:rsidRPr="00E301B9" w:rsidRDefault="00E301B9" w:rsidP="00E301B9">
      <w:pPr>
        <w:jc w:val="both"/>
        <w:rPr>
          <w:rFonts w:cs="Helvetica"/>
          <w:lang w:val="de-CH"/>
        </w:rPr>
      </w:pPr>
    </w:p>
    <w:p w14:paraId="013AA98A" w14:textId="77777777" w:rsidR="003B636E" w:rsidRPr="003B636E" w:rsidRDefault="003B636E" w:rsidP="00E301B9">
      <w:pPr>
        <w:jc w:val="both"/>
        <w:rPr>
          <w:rFonts w:cs="Helvetica"/>
          <w:lang w:val="de-CH"/>
        </w:rPr>
      </w:pPr>
      <w:r w:rsidRPr="003B636E">
        <w:rPr>
          <w:rFonts w:cs="Helvetica"/>
          <w:lang w:val="de-CH"/>
        </w:rPr>
        <w:t>Notfall-Hotline des EDA in Bern</w:t>
      </w:r>
    </w:p>
    <w:p w14:paraId="04ECA10C" w14:textId="4750C8F8" w:rsidR="00E301B9" w:rsidRPr="00E301B9" w:rsidRDefault="00E301B9" w:rsidP="00E301B9">
      <w:pPr>
        <w:jc w:val="both"/>
        <w:rPr>
          <w:rFonts w:cs="Helvetica"/>
          <w:b/>
          <w:bCs/>
          <w:color w:val="FF0000"/>
          <w:lang w:val="en-US"/>
        </w:rPr>
      </w:pPr>
      <w:r w:rsidRPr="00E301B9">
        <w:rPr>
          <w:rFonts w:cs="Helvetica"/>
          <w:b/>
          <w:bCs/>
          <w:color w:val="FF0000"/>
          <w:lang w:val="en-US"/>
        </w:rPr>
        <w:t xml:space="preserve">24/24h Helpline EDA +41 800 24-7-365 / +41 58 465 33 33 </w:t>
      </w:r>
    </w:p>
    <w:p w14:paraId="04EAEEFB" w14:textId="77777777" w:rsidR="00E301B9" w:rsidRPr="00E301B9" w:rsidRDefault="00E301B9" w:rsidP="00E301B9">
      <w:pPr>
        <w:jc w:val="both"/>
        <w:rPr>
          <w:rFonts w:cs="Helvetica"/>
          <w:lang w:val="en-US"/>
        </w:rPr>
      </w:pPr>
    </w:p>
    <w:p w14:paraId="43DEBE55" w14:textId="129462B6" w:rsidR="00E301B9" w:rsidRPr="00E301B9" w:rsidRDefault="003B636E" w:rsidP="00E301B9">
      <w:pPr>
        <w:jc w:val="both"/>
        <w:rPr>
          <w:rFonts w:cs="Helvetica"/>
          <w:lang w:val="en-US"/>
        </w:rPr>
      </w:pPr>
      <w:proofErr w:type="spellStart"/>
      <w:r>
        <w:rPr>
          <w:rFonts w:cs="Helvetica"/>
          <w:lang w:val="en-US"/>
        </w:rPr>
        <w:t>Schweizerische</w:t>
      </w:r>
      <w:proofErr w:type="spellEnd"/>
      <w:r>
        <w:rPr>
          <w:rFonts w:cs="Helvetica"/>
          <w:lang w:val="en-US"/>
        </w:rPr>
        <w:t xml:space="preserve"> Botschaft</w:t>
      </w:r>
    </w:p>
    <w:p w14:paraId="5338A570" w14:textId="7DE50C3F" w:rsidR="00E301B9" w:rsidRPr="00E301B9" w:rsidRDefault="00E301B9" w:rsidP="00E301B9">
      <w:pPr>
        <w:jc w:val="both"/>
        <w:rPr>
          <w:rFonts w:cs="Helvetica"/>
          <w:lang w:val="en-US"/>
        </w:rPr>
      </w:pPr>
      <w:r w:rsidRPr="00E301B9">
        <w:rPr>
          <w:rFonts w:cs="Helvetica"/>
          <w:lang w:val="en-US"/>
        </w:rPr>
        <w:t>14th Fl</w:t>
      </w:r>
      <w:r>
        <w:rPr>
          <w:rFonts w:cs="Helvetica"/>
          <w:lang w:val="en-US"/>
        </w:rPr>
        <w:t>o</w:t>
      </w:r>
      <w:r w:rsidRPr="00E301B9">
        <w:rPr>
          <w:rFonts w:cs="Helvetica"/>
          <w:lang w:val="en-US"/>
        </w:rPr>
        <w:t>or, BDO Equitable Tower</w:t>
      </w:r>
    </w:p>
    <w:p w14:paraId="3F2F957A" w14:textId="77777777" w:rsidR="00E301B9" w:rsidRPr="00E301B9" w:rsidRDefault="00E301B9" w:rsidP="00E301B9">
      <w:pPr>
        <w:jc w:val="both"/>
        <w:rPr>
          <w:rFonts w:cs="Helvetica"/>
          <w:lang w:val="fr-CH"/>
        </w:rPr>
      </w:pPr>
      <w:r w:rsidRPr="00E301B9">
        <w:rPr>
          <w:rFonts w:cs="Helvetica"/>
          <w:lang w:val="fr-CH"/>
        </w:rPr>
        <w:t xml:space="preserve">8751 </w:t>
      </w:r>
      <w:proofErr w:type="spellStart"/>
      <w:r w:rsidRPr="00E301B9">
        <w:rPr>
          <w:rFonts w:cs="Helvetica"/>
          <w:lang w:val="fr-CH"/>
        </w:rPr>
        <w:t>Passeo</w:t>
      </w:r>
      <w:proofErr w:type="spellEnd"/>
      <w:r w:rsidRPr="00E301B9">
        <w:rPr>
          <w:rFonts w:cs="Helvetica"/>
          <w:lang w:val="fr-CH"/>
        </w:rPr>
        <w:t xml:space="preserve"> de Roxas</w:t>
      </w:r>
    </w:p>
    <w:p w14:paraId="1F86305B" w14:textId="77777777" w:rsidR="00E301B9" w:rsidRPr="00E301B9" w:rsidRDefault="00E301B9" w:rsidP="00E301B9">
      <w:pPr>
        <w:jc w:val="both"/>
        <w:rPr>
          <w:rFonts w:cs="Helvetica"/>
          <w:lang w:val="fr-CH"/>
        </w:rPr>
      </w:pPr>
      <w:r w:rsidRPr="00E301B9">
        <w:rPr>
          <w:rFonts w:cs="Helvetica"/>
          <w:lang w:val="fr-CH"/>
        </w:rPr>
        <w:t>Makati City</w:t>
      </w:r>
    </w:p>
    <w:p w14:paraId="79F9CE06" w14:textId="77777777" w:rsidR="00E301B9" w:rsidRPr="00E301B9" w:rsidRDefault="00E301B9" w:rsidP="00E301B9">
      <w:pPr>
        <w:jc w:val="both"/>
        <w:rPr>
          <w:rFonts w:cs="Helvetica"/>
          <w:lang w:val="fr-CH"/>
        </w:rPr>
      </w:pPr>
    </w:p>
    <w:p w14:paraId="7F61BA81" w14:textId="081D8FB3" w:rsidR="00E301B9" w:rsidRPr="00E301B9" w:rsidRDefault="003B636E" w:rsidP="00E301B9">
      <w:pPr>
        <w:jc w:val="both"/>
        <w:rPr>
          <w:rFonts w:cs="Helvetica"/>
          <w:b/>
          <w:bCs/>
          <w:lang w:val="fr-CH"/>
        </w:rPr>
      </w:pPr>
      <w:proofErr w:type="gramStart"/>
      <w:r>
        <w:rPr>
          <w:rFonts w:cs="Helvetica"/>
          <w:b/>
          <w:bCs/>
          <w:lang w:val="fr-CH"/>
        </w:rPr>
        <w:t>Telefon</w:t>
      </w:r>
      <w:r w:rsidR="00E301B9" w:rsidRPr="00E301B9">
        <w:rPr>
          <w:rFonts w:cs="Helvetica"/>
          <w:b/>
          <w:bCs/>
          <w:lang w:val="fr-CH"/>
        </w:rPr>
        <w:t>:</w:t>
      </w:r>
      <w:proofErr w:type="gramEnd"/>
      <w:r w:rsidR="00E301B9" w:rsidRPr="00E301B9">
        <w:rPr>
          <w:rFonts w:cs="Helvetica"/>
          <w:b/>
          <w:bCs/>
          <w:lang w:val="fr-CH"/>
        </w:rPr>
        <w:t xml:space="preserve"> +63 2 8845 45 45</w:t>
      </w:r>
    </w:p>
    <w:p w14:paraId="633CF0A8" w14:textId="77777777" w:rsidR="00E301B9" w:rsidRPr="00E301B9" w:rsidRDefault="00E301B9" w:rsidP="00E301B9">
      <w:pPr>
        <w:jc w:val="both"/>
        <w:rPr>
          <w:rFonts w:cs="Helvetica"/>
          <w:lang w:val="fr-CH"/>
        </w:rPr>
      </w:pPr>
    </w:p>
    <w:p w14:paraId="33E9385F" w14:textId="77777777" w:rsidR="00E301B9" w:rsidRPr="00E301B9" w:rsidRDefault="00E301B9" w:rsidP="00E301B9">
      <w:pPr>
        <w:jc w:val="both"/>
        <w:rPr>
          <w:rFonts w:cs="Helvetica"/>
          <w:lang w:val="fr-CH"/>
        </w:rPr>
      </w:pPr>
      <w:r w:rsidRPr="00E301B9">
        <w:rPr>
          <w:rFonts w:cs="Helvetica"/>
          <w:lang w:val="fr-CH"/>
        </w:rPr>
        <w:t>manila@eda.admin.ch</w:t>
      </w:r>
    </w:p>
    <w:p w14:paraId="1524581A" w14:textId="77777777" w:rsidR="00E301B9" w:rsidRPr="00E301B9" w:rsidRDefault="00E301B9" w:rsidP="00E301B9">
      <w:pPr>
        <w:jc w:val="both"/>
        <w:rPr>
          <w:rFonts w:cs="Helvetica"/>
          <w:lang w:val="fr-CH"/>
        </w:rPr>
      </w:pPr>
      <w:hyperlink r:id="rId19" w:history="1">
        <w:r w:rsidRPr="00E301B9">
          <w:rPr>
            <w:rStyle w:val="Hyperlink"/>
            <w:rFonts w:ascii="Arial" w:hAnsi="Arial" w:cs="Helvetica"/>
            <w:lang w:val="fr-CH"/>
          </w:rPr>
          <w:t>www.eda.admin.ch/manila</w:t>
        </w:r>
      </w:hyperlink>
    </w:p>
    <w:p w14:paraId="2E548AC7" w14:textId="77777777" w:rsidR="00E301B9" w:rsidRPr="00E301B9" w:rsidRDefault="00E301B9" w:rsidP="00E301B9">
      <w:pPr>
        <w:jc w:val="both"/>
        <w:rPr>
          <w:rFonts w:cs="Helvetica"/>
          <w:lang w:val="fr-CH"/>
        </w:rPr>
      </w:pPr>
      <w:hyperlink r:id="rId20" w:history="1">
        <w:r w:rsidRPr="00E301B9">
          <w:rPr>
            <w:rStyle w:val="Hyperlink"/>
            <w:rFonts w:ascii="Arial" w:hAnsi="Arial" w:cs="Helvetica"/>
            <w:lang w:val="fr-CH"/>
          </w:rPr>
          <w:t>www.facebook.com/SwissEmbassyPhilippines</w:t>
        </w:r>
      </w:hyperlink>
    </w:p>
    <w:p w14:paraId="48A42FB4" w14:textId="77777777" w:rsidR="00E301B9" w:rsidRPr="00E301B9" w:rsidRDefault="00E301B9" w:rsidP="00E301B9">
      <w:pPr>
        <w:jc w:val="both"/>
        <w:rPr>
          <w:rFonts w:cs="Helvetica"/>
          <w:lang w:val="de-CH"/>
        </w:rPr>
      </w:pPr>
    </w:p>
    <w:p w14:paraId="5613B955" w14:textId="77777777" w:rsidR="00E301B9" w:rsidRPr="007A59FB" w:rsidRDefault="00E301B9" w:rsidP="00E301B9">
      <w:pPr>
        <w:jc w:val="both"/>
        <w:rPr>
          <w:rFonts w:cs="Helvetica"/>
          <w:lang w:val="de-CH"/>
        </w:rPr>
      </w:pPr>
    </w:p>
    <w:sectPr w:rsidR="00E301B9" w:rsidRPr="007A59FB" w:rsidSect="00574C1F">
      <w:headerReference w:type="default" r:id="rId21"/>
      <w:footerReference w:type="even" r:id="rId22"/>
      <w:footerReference w:type="default" r:id="rId23"/>
      <w:footerReference w:type="first" r:id="rId24"/>
      <w:type w:val="continuous"/>
      <w:pgSz w:w="11907" w:h="16840" w:code="9"/>
      <w:pgMar w:top="680" w:right="1418" w:bottom="340" w:left="1418" w:header="0" w:footer="6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B01EC" w14:textId="77777777" w:rsidR="006B537C" w:rsidRDefault="006B537C">
      <w:r>
        <w:separator/>
      </w:r>
    </w:p>
  </w:endnote>
  <w:endnote w:type="continuationSeparator" w:id="0">
    <w:p w14:paraId="0FB16B6B" w14:textId="77777777" w:rsidR="006B537C" w:rsidRDefault="006B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7.5">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A6C4" w14:textId="77777777" w:rsidR="009158BA" w:rsidRDefault="009158BA" w:rsidP="00F901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77C66" w14:textId="77777777" w:rsidR="009158BA" w:rsidRDefault="009158BA" w:rsidP="00F901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24"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7"/>
      <w:gridCol w:w="3829"/>
      <w:gridCol w:w="2548"/>
    </w:tblGrid>
    <w:tr w:rsidR="009158BA" w:rsidRPr="00547F15" w14:paraId="645ACE4A" w14:textId="77777777">
      <w:trPr>
        <w:trHeight w:val="419"/>
      </w:trPr>
      <w:tc>
        <w:tcPr>
          <w:tcW w:w="5247" w:type="dxa"/>
        </w:tcPr>
        <w:p w14:paraId="19D6F70A" w14:textId="77777777" w:rsidR="009158BA" w:rsidRPr="00422A95" w:rsidRDefault="009158BA" w:rsidP="005B64C6">
          <w:pPr>
            <w:pStyle w:val="Footer"/>
            <w:rPr>
              <w:rFonts w:cs="Helvetica"/>
            </w:rPr>
          </w:pPr>
        </w:p>
      </w:tc>
      <w:tc>
        <w:tcPr>
          <w:tcW w:w="3829" w:type="dxa"/>
          <w:vAlign w:val="bottom"/>
        </w:tcPr>
        <w:p w14:paraId="66CFFA05" w14:textId="77777777" w:rsidR="009158BA" w:rsidRPr="00852F3D" w:rsidRDefault="009158BA" w:rsidP="005B64C6">
          <w:pPr>
            <w:pStyle w:val="Footer"/>
            <w:rPr>
              <w:sz w:val="15"/>
            </w:rPr>
          </w:pPr>
        </w:p>
        <w:p w14:paraId="53B790C8" w14:textId="77777777" w:rsidR="009158BA" w:rsidRDefault="009158BA" w:rsidP="005B64C6">
          <w:pPr>
            <w:pStyle w:val="Footer"/>
            <w:rPr>
              <w:sz w:val="15"/>
            </w:rPr>
          </w:pPr>
        </w:p>
        <w:p w14:paraId="443A2DA9" w14:textId="77777777" w:rsidR="009158BA" w:rsidRPr="00422A95" w:rsidRDefault="009158BA" w:rsidP="005B64C6">
          <w:pPr>
            <w:pStyle w:val="Footer"/>
            <w:rPr>
              <w:sz w:val="15"/>
            </w:rPr>
          </w:pPr>
        </w:p>
      </w:tc>
      <w:tc>
        <w:tcPr>
          <w:tcW w:w="2548" w:type="dxa"/>
          <w:vAlign w:val="bottom"/>
        </w:tcPr>
        <w:p w14:paraId="06F6808B" w14:textId="77777777" w:rsidR="009158BA" w:rsidRPr="00422A95" w:rsidRDefault="009158BA" w:rsidP="005B64C6">
          <w:pPr>
            <w:pStyle w:val="Footer"/>
            <w:rPr>
              <w:rFonts w:ascii="7.5" w:hAnsi="7.5" w:cs="Helvetica"/>
            </w:rPr>
          </w:pPr>
        </w:p>
        <w:p w14:paraId="39AE074C" w14:textId="77777777" w:rsidR="009158BA" w:rsidRPr="00547F15" w:rsidRDefault="009158BA" w:rsidP="005B64C6">
          <w:pPr>
            <w:tabs>
              <w:tab w:val="left" w:pos="2015"/>
            </w:tabs>
          </w:pPr>
          <w:r>
            <w:tab/>
          </w:r>
          <w:r w:rsidRPr="004E2482">
            <w:rPr>
              <w:rStyle w:val="PageNumber"/>
              <w:rFonts w:ascii="Arial" w:hAnsi="Arial" w:cs="Helvetica"/>
              <w:sz w:val="15"/>
            </w:rPr>
            <w:fldChar w:fldCharType="begin"/>
          </w:r>
          <w:r w:rsidRPr="004E2482">
            <w:rPr>
              <w:rStyle w:val="PageNumber"/>
              <w:rFonts w:ascii="Arial" w:hAnsi="Arial" w:cs="Helvetica"/>
              <w:sz w:val="15"/>
            </w:rPr>
            <w:instrText xml:space="preserve"> PAGE  </w:instrText>
          </w:r>
          <w:r w:rsidRPr="004E2482">
            <w:rPr>
              <w:rStyle w:val="PageNumber"/>
              <w:rFonts w:ascii="Arial" w:hAnsi="Arial" w:cs="Helvetica"/>
              <w:sz w:val="15"/>
            </w:rPr>
            <w:fldChar w:fldCharType="separate"/>
          </w:r>
          <w:r>
            <w:rPr>
              <w:rStyle w:val="PageNumber"/>
              <w:rFonts w:ascii="Arial" w:hAnsi="Arial" w:cs="Helvetica"/>
              <w:noProof/>
              <w:sz w:val="15"/>
            </w:rPr>
            <w:t>2</w:t>
          </w:r>
          <w:r w:rsidRPr="004E2482">
            <w:rPr>
              <w:rStyle w:val="PageNumber"/>
              <w:rFonts w:ascii="Arial" w:hAnsi="Arial" w:cs="Helvetica"/>
              <w:sz w:val="15"/>
            </w:rPr>
            <w:fldChar w:fldCharType="end"/>
          </w:r>
          <w:r w:rsidRPr="004E2482">
            <w:rPr>
              <w:rStyle w:val="PageNumber"/>
              <w:rFonts w:ascii="Arial" w:hAnsi="Arial" w:cs="Helvetica"/>
              <w:sz w:val="15"/>
            </w:rPr>
            <w:t>/</w:t>
          </w:r>
          <w:r w:rsidRPr="004E2482">
            <w:rPr>
              <w:rStyle w:val="PageNumber"/>
              <w:rFonts w:ascii="Arial" w:hAnsi="Arial" w:cs="Helvetica"/>
              <w:sz w:val="15"/>
            </w:rPr>
            <w:fldChar w:fldCharType="begin"/>
          </w:r>
          <w:r w:rsidRPr="004E2482">
            <w:rPr>
              <w:rStyle w:val="PageNumber"/>
              <w:rFonts w:ascii="Arial" w:hAnsi="Arial" w:cs="Helvetica"/>
              <w:sz w:val="15"/>
            </w:rPr>
            <w:instrText xml:space="preserve"> NUMPAGES   \* MERGEFORMAT </w:instrText>
          </w:r>
          <w:r w:rsidRPr="004E2482">
            <w:rPr>
              <w:rStyle w:val="PageNumber"/>
              <w:rFonts w:ascii="Arial" w:hAnsi="Arial" w:cs="Helvetica"/>
              <w:sz w:val="15"/>
            </w:rPr>
            <w:fldChar w:fldCharType="separate"/>
          </w:r>
          <w:r w:rsidR="006D3001">
            <w:rPr>
              <w:rStyle w:val="PageNumber"/>
              <w:rFonts w:ascii="Arial" w:hAnsi="Arial" w:cs="Helvetica"/>
              <w:noProof/>
              <w:sz w:val="15"/>
            </w:rPr>
            <w:t>1</w:t>
          </w:r>
          <w:r w:rsidRPr="004E2482">
            <w:rPr>
              <w:rStyle w:val="PageNumber"/>
              <w:rFonts w:ascii="Arial" w:hAnsi="Arial" w:cs="Helvetica"/>
              <w:sz w:val="15"/>
            </w:rPr>
            <w:fldChar w:fldCharType="end"/>
          </w:r>
        </w:p>
      </w:tc>
    </w:tr>
  </w:tbl>
  <w:p w14:paraId="0AA8EB5E" w14:textId="77777777" w:rsidR="009158BA" w:rsidRDefault="009158BA" w:rsidP="00F901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1537" w:type="dxa"/>
      <w:tblCellMar>
        <w:left w:w="142" w:type="dxa"/>
      </w:tblCellMar>
      <w:tblLook w:val="01E0" w:firstRow="1" w:lastRow="1" w:firstColumn="1" w:lastColumn="1" w:noHBand="0" w:noVBand="0"/>
    </w:tblPr>
    <w:tblGrid>
      <w:gridCol w:w="6573"/>
      <w:gridCol w:w="4201"/>
    </w:tblGrid>
    <w:tr w:rsidR="00256C51" w:rsidRPr="00AB2797" w14:paraId="039F9787" w14:textId="77777777" w:rsidTr="00DD1045">
      <w:tc>
        <w:tcPr>
          <w:tcW w:w="6573" w:type="dxa"/>
          <w:shd w:val="clear" w:color="auto" w:fill="auto"/>
        </w:tcPr>
        <w:p w14:paraId="54966DA9" w14:textId="77777777" w:rsidR="00256C51" w:rsidRPr="00AB2797" w:rsidRDefault="00256C51" w:rsidP="00484973">
          <w:pPr>
            <w:pStyle w:val="Footer"/>
            <w:ind w:left="-108"/>
            <w:rPr>
              <w:lang w:val="de-CH"/>
            </w:rPr>
          </w:pPr>
        </w:p>
      </w:tc>
      <w:tc>
        <w:tcPr>
          <w:tcW w:w="4201" w:type="dxa"/>
          <w:vAlign w:val="bottom"/>
        </w:tcPr>
        <w:p w14:paraId="29F9D85E" w14:textId="77777777" w:rsidR="00256C51" w:rsidRPr="00E301B9" w:rsidRDefault="00256C51" w:rsidP="00532AB9">
          <w:pPr>
            <w:pStyle w:val="Footer"/>
            <w:ind w:left="124"/>
            <w:rPr>
              <w:sz w:val="15"/>
              <w:lang w:val="en-US"/>
            </w:rPr>
          </w:pPr>
          <w:bookmarkStart w:id="10" w:name="organisationAddress"/>
          <w:r w:rsidRPr="00E301B9">
            <w:rPr>
              <w:sz w:val="15"/>
              <w:lang w:val="en-US"/>
            </w:rPr>
            <w:t>24th Floor, BDO Equitable Tower</w:t>
          </w:r>
          <w:r w:rsidRPr="00E301B9">
            <w:rPr>
              <w:sz w:val="15"/>
              <w:lang w:val="en-US"/>
            </w:rPr>
            <w:br/>
            <w:t>8751 Paseo de Roxas</w:t>
          </w:r>
          <w:r w:rsidRPr="00E301B9">
            <w:rPr>
              <w:sz w:val="15"/>
              <w:lang w:val="en-US"/>
            </w:rPr>
            <w:br/>
          </w:r>
          <w:proofErr w:type="spellStart"/>
          <w:r w:rsidRPr="00E301B9">
            <w:rPr>
              <w:sz w:val="15"/>
              <w:lang w:val="en-US"/>
            </w:rPr>
            <w:t>P.O.Box</w:t>
          </w:r>
          <w:proofErr w:type="spellEnd"/>
          <w:r w:rsidRPr="00E301B9">
            <w:rPr>
              <w:sz w:val="15"/>
              <w:lang w:val="en-US"/>
            </w:rPr>
            <w:t xml:space="preserve"> 2068, MCPO</w:t>
          </w:r>
          <w:r w:rsidRPr="00E301B9">
            <w:rPr>
              <w:sz w:val="15"/>
              <w:lang w:val="en-US"/>
            </w:rPr>
            <w:br/>
            <w:t>1260 Makati City, Metro Manila</w:t>
          </w:r>
          <w:r w:rsidRPr="00E301B9">
            <w:rPr>
              <w:sz w:val="15"/>
              <w:lang w:val="en-US"/>
            </w:rPr>
            <w:br/>
            <w:t>Philippines</w:t>
          </w:r>
          <w:bookmarkEnd w:id="10"/>
        </w:p>
        <w:p w14:paraId="70EE5E2B" w14:textId="77777777" w:rsidR="00256C51" w:rsidRPr="00AB2797" w:rsidRDefault="00256C51" w:rsidP="00532AB9">
          <w:pPr>
            <w:pStyle w:val="Footer"/>
            <w:ind w:left="124"/>
            <w:rPr>
              <w:rFonts w:cs="Helvetica"/>
              <w:sz w:val="15"/>
              <w:lang w:val="de-CH"/>
            </w:rPr>
          </w:pPr>
          <w:bookmarkStart w:id="11" w:name="organisationContactDetails"/>
          <w:r>
            <w:rPr>
              <w:rFonts w:cs="Helvetica"/>
              <w:sz w:val="15"/>
              <w:lang w:val="de-CH"/>
            </w:rPr>
            <w:t>Tel: (+63 2) 8845 4545 / Fax: (+63 2) 8845 4538</w:t>
          </w:r>
          <w:r>
            <w:rPr>
              <w:rFonts w:cs="Helvetica"/>
              <w:sz w:val="15"/>
              <w:lang w:val="de-CH"/>
            </w:rPr>
            <w:br/>
            <w:t>manila@eda.admin.ch / www.eda.admin.ch/philippines</w:t>
          </w:r>
          <w:bookmarkEnd w:id="11"/>
        </w:p>
      </w:tc>
    </w:tr>
  </w:tbl>
  <w:p w14:paraId="1C84CBEB" w14:textId="77777777" w:rsidR="009158BA" w:rsidRPr="00AB2797" w:rsidRDefault="009158BA" w:rsidP="003C3771">
    <w:pPr>
      <w:pStyle w:val="Footer"/>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8353" w14:textId="77777777" w:rsidR="006B537C" w:rsidRDefault="006B537C">
      <w:r>
        <w:separator/>
      </w:r>
    </w:p>
  </w:footnote>
  <w:footnote w:type="continuationSeparator" w:id="0">
    <w:p w14:paraId="40E01FB1" w14:textId="77777777" w:rsidR="006B537C" w:rsidRDefault="006B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3"/>
      <w:gridCol w:w="4394"/>
    </w:tblGrid>
    <w:tr w:rsidR="009158BA" w14:paraId="7C4FF060" w14:textId="77777777">
      <w:trPr>
        <w:trHeight w:val="1134"/>
      </w:trPr>
      <w:tc>
        <w:tcPr>
          <w:tcW w:w="4605" w:type="dxa"/>
        </w:tcPr>
        <w:p w14:paraId="2389B423" w14:textId="77777777" w:rsidR="009158BA" w:rsidRPr="00574C1F" w:rsidRDefault="009158BA" w:rsidP="00574C1F"/>
      </w:tc>
      <w:tc>
        <w:tcPr>
          <w:tcW w:w="4606" w:type="dxa"/>
        </w:tcPr>
        <w:p w14:paraId="74D0761B" w14:textId="77777777" w:rsidR="009158BA" w:rsidRDefault="009158BA">
          <w:pPr>
            <w:pStyle w:val="Header"/>
          </w:pPr>
        </w:p>
      </w:tc>
    </w:tr>
  </w:tbl>
  <w:p w14:paraId="21C59BC5" w14:textId="77777777" w:rsidR="009158BA" w:rsidRPr="001756CF" w:rsidRDefault="009158BA">
    <w:pPr>
      <w:pStyle w:val="Header"/>
      <w:rPr>
        <w:rFonts w:cs="Helvetica"/>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BC5B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366A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1CCC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42D3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7004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253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7C8B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D48A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C61C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78C9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A2691C"/>
    <w:multiLevelType w:val="hybridMultilevel"/>
    <w:tmpl w:val="FFFFFFFF"/>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4064567"/>
    <w:multiLevelType w:val="multilevel"/>
    <w:tmpl w:val="442CDDF0"/>
    <w:lvl w:ilvl="0">
      <w:start w:val="1"/>
      <w:numFmt w:val="upperRoman"/>
      <w:lvlText w:val="Article %1."/>
      <w:lvlJc w:val="left"/>
      <w:pPr>
        <w:tabs>
          <w:tab w:val="num" w:pos="1080"/>
        </w:tabs>
        <w:ind w:left="0" w:firstLine="284"/>
      </w:pPr>
      <w:rPr>
        <w:rFonts w:hint="default"/>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9F813B0"/>
    <w:multiLevelType w:val="multilevel"/>
    <w:tmpl w:val="8C6C76A2"/>
    <w:lvl w:ilvl="0">
      <w:start w:val="1"/>
      <w:numFmt w:val="decimal"/>
      <w:lvlText w:val="%1."/>
      <w:lvlJc w:val="left"/>
      <w:pPr>
        <w:tabs>
          <w:tab w:val="num" w:pos="360"/>
        </w:tabs>
        <w:ind w:left="360" w:hanging="76"/>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41DD0AEF"/>
    <w:multiLevelType w:val="multilevel"/>
    <w:tmpl w:val="0807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B984EF6"/>
    <w:multiLevelType w:val="hybridMultilevel"/>
    <w:tmpl w:val="FFFFFFFF"/>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C9821B5"/>
    <w:multiLevelType w:val="multilevel"/>
    <w:tmpl w:val="E3F48CF4"/>
    <w:styleLink w:val="1ai"/>
    <w:lvl w:ilvl="0">
      <w:start w:val="1"/>
      <w:numFmt w:val="decimal"/>
      <w:lvlText w:val="%1)"/>
      <w:lvlJc w:val="left"/>
      <w:pPr>
        <w:tabs>
          <w:tab w:val="num" w:pos="360"/>
        </w:tabs>
        <w:ind w:left="360" w:hanging="7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299340C"/>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33054A0"/>
    <w:multiLevelType w:val="multilevel"/>
    <w:tmpl w:val="7E7237E6"/>
    <w:lvl w:ilvl="0">
      <w:start w:val="1"/>
      <w:numFmt w:val="upperRoman"/>
      <w:lvlText w:val="Article %1."/>
      <w:lvlJc w:val="left"/>
      <w:pPr>
        <w:tabs>
          <w:tab w:val="num" w:pos="1440"/>
        </w:tabs>
        <w:ind w:left="0" w:firstLine="284"/>
      </w:pPr>
    </w:lvl>
    <w:lvl w:ilvl="1">
      <w:start w:val="1"/>
      <w:numFmt w:val="decimalZero"/>
      <w:pStyle w:val="Heading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7B45E2"/>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4217477">
    <w:abstractNumId w:val="9"/>
  </w:num>
  <w:num w:numId="2" w16cid:durableId="689600965">
    <w:abstractNumId w:val="7"/>
  </w:num>
  <w:num w:numId="3" w16cid:durableId="309595710">
    <w:abstractNumId w:val="6"/>
  </w:num>
  <w:num w:numId="4" w16cid:durableId="583759959">
    <w:abstractNumId w:val="5"/>
  </w:num>
  <w:num w:numId="5" w16cid:durableId="1818110369">
    <w:abstractNumId w:val="4"/>
  </w:num>
  <w:num w:numId="6" w16cid:durableId="198782457">
    <w:abstractNumId w:val="8"/>
  </w:num>
  <w:num w:numId="7" w16cid:durableId="1293243642">
    <w:abstractNumId w:val="3"/>
  </w:num>
  <w:num w:numId="8" w16cid:durableId="978147944">
    <w:abstractNumId w:val="2"/>
  </w:num>
  <w:num w:numId="9" w16cid:durableId="699204690">
    <w:abstractNumId w:val="1"/>
  </w:num>
  <w:num w:numId="10" w16cid:durableId="38214001">
    <w:abstractNumId w:val="0"/>
  </w:num>
  <w:num w:numId="11" w16cid:durableId="1391882466">
    <w:abstractNumId w:val="16"/>
  </w:num>
  <w:num w:numId="12" w16cid:durableId="1119644195">
    <w:abstractNumId w:val="12"/>
  </w:num>
  <w:num w:numId="13" w16cid:durableId="1168669301">
    <w:abstractNumId w:val="18"/>
  </w:num>
  <w:num w:numId="14" w16cid:durableId="236939445">
    <w:abstractNumId w:val="15"/>
  </w:num>
  <w:num w:numId="15" w16cid:durableId="1331717288">
    <w:abstractNumId w:val="13"/>
  </w:num>
  <w:num w:numId="16" w16cid:durableId="1037973691">
    <w:abstractNumId w:val="11"/>
  </w:num>
  <w:num w:numId="17" w16cid:durableId="16135107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9579719">
    <w:abstractNumId w:val="9"/>
  </w:num>
  <w:num w:numId="19" w16cid:durableId="120071925">
    <w:abstractNumId w:val="8"/>
  </w:num>
  <w:num w:numId="20" w16cid:durableId="192112226">
    <w:abstractNumId w:val="10"/>
  </w:num>
  <w:num w:numId="21" w16cid:durableId="20773870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B9"/>
    <w:rsid w:val="00000382"/>
    <w:rsid w:val="00003FC2"/>
    <w:rsid w:val="00005EEF"/>
    <w:rsid w:val="000075E3"/>
    <w:rsid w:val="00010B50"/>
    <w:rsid w:val="0001493F"/>
    <w:rsid w:val="00015FE5"/>
    <w:rsid w:val="00023B83"/>
    <w:rsid w:val="00024C0E"/>
    <w:rsid w:val="000262B7"/>
    <w:rsid w:val="000359A3"/>
    <w:rsid w:val="000379BB"/>
    <w:rsid w:val="000425F2"/>
    <w:rsid w:val="00044436"/>
    <w:rsid w:val="00044E75"/>
    <w:rsid w:val="0005134F"/>
    <w:rsid w:val="000556A8"/>
    <w:rsid w:val="00061FD0"/>
    <w:rsid w:val="0006213A"/>
    <w:rsid w:val="00065D57"/>
    <w:rsid w:val="00066331"/>
    <w:rsid w:val="00074DD0"/>
    <w:rsid w:val="00075380"/>
    <w:rsid w:val="000805B6"/>
    <w:rsid w:val="00082F76"/>
    <w:rsid w:val="00084CD6"/>
    <w:rsid w:val="000A0CC9"/>
    <w:rsid w:val="000A1090"/>
    <w:rsid w:val="000A39BA"/>
    <w:rsid w:val="000A5687"/>
    <w:rsid w:val="000B15FD"/>
    <w:rsid w:val="000B362F"/>
    <w:rsid w:val="000B5EBD"/>
    <w:rsid w:val="000C3282"/>
    <w:rsid w:val="000C47D4"/>
    <w:rsid w:val="000D3560"/>
    <w:rsid w:val="000D5770"/>
    <w:rsid w:val="000D6BAC"/>
    <w:rsid w:val="000D763B"/>
    <w:rsid w:val="000E1C7C"/>
    <w:rsid w:val="000E55A1"/>
    <w:rsid w:val="000E72BE"/>
    <w:rsid w:val="000F053D"/>
    <w:rsid w:val="000F5AC4"/>
    <w:rsid w:val="001031F9"/>
    <w:rsid w:val="001034E9"/>
    <w:rsid w:val="00107DE2"/>
    <w:rsid w:val="00112683"/>
    <w:rsid w:val="00115EBD"/>
    <w:rsid w:val="00120AF3"/>
    <w:rsid w:val="001256AE"/>
    <w:rsid w:val="00135F6E"/>
    <w:rsid w:val="001415D8"/>
    <w:rsid w:val="0014537F"/>
    <w:rsid w:val="0015434B"/>
    <w:rsid w:val="00170A68"/>
    <w:rsid w:val="00172645"/>
    <w:rsid w:val="001756CF"/>
    <w:rsid w:val="00180FD1"/>
    <w:rsid w:val="001813EE"/>
    <w:rsid w:val="00183F6E"/>
    <w:rsid w:val="00187AC5"/>
    <w:rsid w:val="0019322C"/>
    <w:rsid w:val="00195D48"/>
    <w:rsid w:val="001A0720"/>
    <w:rsid w:val="001A2AA3"/>
    <w:rsid w:val="001A51D5"/>
    <w:rsid w:val="001A651E"/>
    <w:rsid w:val="001B13BD"/>
    <w:rsid w:val="001C041B"/>
    <w:rsid w:val="001D5D6C"/>
    <w:rsid w:val="001E2D22"/>
    <w:rsid w:val="001E314A"/>
    <w:rsid w:val="001E7CBD"/>
    <w:rsid w:val="001F0AEC"/>
    <w:rsid w:val="001F1772"/>
    <w:rsid w:val="001F38D8"/>
    <w:rsid w:val="001F65EA"/>
    <w:rsid w:val="00206E81"/>
    <w:rsid w:val="00211B43"/>
    <w:rsid w:val="00217576"/>
    <w:rsid w:val="00220D51"/>
    <w:rsid w:val="00220E9A"/>
    <w:rsid w:val="00222F93"/>
    <w:rsid w:val="0022352F"/>
    <w:rsid w:val="00223D21"/>
    <w:rsid w:val="0022540F"/>
    <w:rsid w:val="00236951"/>
    <w:rsid w:val="002429AA"/>
    <w:rsid w:val="00244A73"/>
    <w:rsid w:val="00246597"/>
    <w:rsid w:val="002478AB"/>
    <w:rsid w:val="00250E57"/>
    <w:rsid w:val="00254D0E"/>
    <w:rsid w:val="00256930"/>
    <w:rsid w:val="00256C51"/>
    <w:rsid w:val="00256DE8"/>
    <w:rsid w:val="0026199B"/>
    <w:rsid w:val="00271C19"/>
    <w:rsid w:val="0028462A"/>
    <w:rsid w:val="0028719A"/>
    <w:rsid w:val="00287E63"/>
    <w:rsid w:val="00293327"/>
    <w:rsid w:val="00295236"/>
    <w:rsid w:val="0029589F"/>
    <w:rsid w:val="00296F17"/>
    <w:rsid w:val="002970EF"/>
    <w:rsid w:val="002979B1"/>
    <w:rsid w:val="002A4C57"/>
    <w:rsid w:val="002B5B20"/>
    <w:rsid w:val="002B6CA7"/>
    <w:rsid w:val="002C1E72"/>
    <w:rsid w:val="002D2D78"/>
    <w:rsid w:val="002D7BC0"/>
    <w:rsid w:val="002F114B"/>
    <w:rsid w:val="002F516E"/>
    <w:rsid w:val="002F6232"/>
    <w:rsid w:val="002F730F"/>
    <w:rsid w:val="002F7FC7"/>
    <w:rsid w:val="00301340"/>
    <w:rsid w:val="00301A38"/>
    <w:rsid w:val="00301B07"/>
    <w:rsid w:val="003026B5"/>
    <w:rsid w:val="003037B8"/>
    <w:rsid w:val="00305D23"/>
    <w:rsid w:val="00307CAE"/>
    <w:rsid w:val="00312EFC"/>
    <w:rsid w:val="00323298"/>
    <w:rsid w:val="00325983"/>
    <w:rsid w:val="003271D6"/>
    <w:rsid w:val="00331903"/>
    <w:rsid w:val="0033590C"/>
    <w:rsid w:val="00341EA0"/>
    <w:rsid w:val="00355D60"/>
    <w:rsid w:val="00356A97"/>
    <w:rsid w:val="00364DE4"/>
    <w:rsid w:val="00383990"/>
    <w:rsid w:val="00385E6D"/>
    <w:rsid w:val="003877D6"/>
    <w:rsid w:val="00387BB9"/>
    <w:rsid w:val="00391BCA"/>
    <w:rsid w:val="003926B7"/>
    <w:rsid w:val="0039638C"/>
    <w:rsid w:val="003A1388"/>
    <w:rsid w:val="003A6011"/>
    <w:rsid w:val="003A6427"/>
    <w:rsid w:val="003B08F5"/>
    <w:rsid w:val="003B1B7B"/>
    <w:rsid w:val="003B1FBD"/>
    <w:rsid w:val="003B38EB"/>
    <w:rsid w:val="003B636E"/>
    <w:rsid w:val="003B6497"/>
    <w:rsid w:val="003C312F"/>
    <w:rsid w:val="003C3771"/>
    <w:rsid w:val="003C591E"/>
    <w:rsid w:val="003C5AE9"/>
    <w:rsid w:val="003C6C21"/>
    <w:rsid w:val="003C76EA"/>
    <w:rsid w:val="003C789A"/>
    <w:rsid w:val="003D6752"/>
    <w:rsid w:val="003E6D20"/>
    <w:rsid w:val="003F7C8D"/>
    <w:rsid w:val="00403970"/>
    <w:rsid w:val="00403CBC"/>
    <w:rsid w:val="00410D8B"/>
    <w:rsid w:val="00414E87"/>
    <w:rsid w:val="00415895"/>
    <w:rsid w:val="00424B8A"/>
    <w:rsid w:val="00433D99"/>
    <w:rsid w:val="00440F53"/>
    <w:rsid w:val="00446007"/>
    <w:rsid w:val="0045358B"/>
    <w:rsid w:val="0046104B"/>
    <w:rsid w:val="004627A4"/>
    <w:rsid w:val="004650BA"/>
    <w:rsid w:val="00467272"/>
    <w:rsid w:val="004672C4"/>
    <w:rsid w:val="00470C48"/>
    <w:rsid w:val="00471468"/>
    <w:rsid w:val="00484973"/>
    <w:rsid w:val="0048562B"/>
    <w:rsid w:val="004902D4"/>
    <w:rsid w:val="00490F5A"/>
    <w:rsid w:val="0049158D"/>
    <w:rsid w:val="00491C23"/>
    <w:rsid w:val="004A0649"/>
    <w:rsid w:val="004A0857"/>
    <w:rsid w:val="004A396E"/>
    <w:rsid w:val="004A544E"/>
    <w:rsid w:val="004A5BFB"/>
    <w:rsid w:val="004B01F3"/>
    <w:rsid w:val="004B0F0A"/>
    <w:rsid w:val="004B2E40"/>
    <w:rsid w:val="004B3C0F"/>
    <w:rsid w:val="004C04D5"/>
    <w:rsid w:val="004C384B"/>
    <w:rsid w:val="004D2EC1"/>
    <w:rsid w:val="004D4975"/>
    <w:rsid w:val="004D5BAB"/>
    <w:rsid w:val="004E1BEB"/>
    <w:rsid w:val="004E2482"/>
    <w:rsid w:val="004E45A3"/>
    <w:rsid w:val="004E6DA3"/>
    <w:rsid w:val="004F1E07"/>
    <w:rsid w:val="004F3744"/>
    <w:rsid w:val="004F3C48"/>
    <w:rsid w:val="005070A0"/>
    <w:rsid w:val="00512DEC"/>
    <w:rsid w:val="005140BD"/>
    <w:rsid w:val="00514C39"/>
    <w:rsid w:val="00515074"/>
    <w:rsid w:val="00515E2B"/>
    <w:rsid w:val="00520DD9"/>
    <w:rsid w:val="00523409"/>
    <w:rsid w:val="00530AF7"/>
    <w:rsid w:val="0053209E"/>
    <w:rsid w:val="00532AB9"/>
    <w:rsid w:val="00536DDD"/>
    <w:rsid w:val="00547D83"/>
    <w:rsid w:val="00547F15"/>
    <w:rsid w:val="00550FE5"/>
    <w:rsid w:val="00551BEB"/>
    <w:rsid w:val="00554377"/>
    <w:rsid w:val="00556473"/>
    <w:rsid w:val="0056025E"/>
    <w:rsid w:val="00565BA6"/>
    <w:rsid w:val="00571360"/>
    <w:rsid w:val="00574C1F"/>
    <w:rsid w:val="00575A6D"/>
    <w:rsid w:val="00581B62"/>
    <w:rsid w:val="00585A34"/>
    <w:rsid w:val="005A2CB5"/>
    <w:rsid w:val="005A2FD2"/>
    <w:rsid w:val="005A56A5"/>
    <w:rsid w:val="005A754B"/>
    <w:rsid w:val="005B2E5E"/>
    <w:rsid w:val="005B3EED"/>
    <w:rsid w:val="005B4ADC"/>
    <w:rsid w:val="005B64C6"/>
    <w:rsid w:val="005C10D4"/>
    <w:rsid w:val="005D381F"/>
    <w:rsid w:val="005D3B24"/>
    <w:rsid w:val="005D7D54"/>
    <w:rsid w:val="005E5F04"/>
    <w:rsid w:val="005E65C0"/>
    <w:rsid w:val="005F5BCF"/>
    <w:rsid w:val="00606254"/>
    <w:rsid w:val="00607CE3"/>
    <w:rsid w:val="00617116"/>
    <w:rsid w:val="00622A84"/>
    <w:rsid w:val="0063134B"/>
    <w:rsid w:val="00636076"/>
    <w:rsid w:val="00644463"/>
    <w:rsid w:val="0065317F"/>
    <w:rsid w:val="0065516D"/>
    <w:rsid w:val="006600A4"/>
    <w:rsid w:val="0066083E"/>
    <w:rsid w:val="00660841"/>
    <w:rsid w:val="00666766"/>
    <w:rsid w:val="00671DD5"/>
    <w:rsid w:val="00673FBF"/>
    <w:rsid w:val="00683E4A"/>
    <w:rsid w:val="0068515C"/>
    <w:rsid w:val="00685786"/>
    <w:rsid w:val="00693E67"/>
    <w:rsid w:val="006A034E"/>
    <w:rsid w:val="006A11A1"/>
    <w:rsid w:val="006A6AE1"/>
    <w:rsid w:val="006B0FB4"/>
    <w:rsid w:val="006B4FD5"/>
    <w:rsid w:val="006B537C"/>
    <w:rsid w:val="006B5675"/>
    <w:rsid w:val="006C1406"/>
    <w:rsid w:val="006C59A0"/>
    <w:rsid w:val="006D0D83"/>
    <w:rsid w:val="006D3001"/>
    <w:rsid w:val="006D4CC2"/>
    <w:rsid w:val="006E4146"/>
    <w:rsid w:val="006F235A"/>
    <w:rsid w:val="006F2766"/>
    <w:rsid w:val="006F337E"/>
    <w:rsid w:val="006F4390"/>
    <w:rsid w:val="00701783"/>
    <w:rsid w:val="00702210"/>
    <w:rsid w:val="00703F29"/>
    <w:rsid w:val="00706126"/>
    <w:rsid w:val="00711E2A"/>
    <w:rsid w:val="00714B7D"/>
    <w:rsid w:val="0072030D"/>
    <w:rsid w:val="00720D45"/>
    <w:rsid w:val="00730B45"/>
    <w:rsid w:val="00732D37"/>
    <w:rsid w:val="007340DF"/>
    <w:rsid w:val="007355B2"/>
    <w:rsid w:val="00737BBA"/>
    <w:rsid w:val="00740698"/>
    <w:rsid w:val="00740A9E"/>
    <w:rsid w:val="007443B1"/>
    <w:rsid w:val="007517F2"/>
    <w:rsid w:val="00756BD3"/>
    <w:rsid w:val="00762255"/>
    <w:rsid w:val="0076270C"/>
    <w:rsid w:val="00763028"/>
    <w:rsid w:val="00765A2A"/>
    <w:rsid w:val="00766790"/>
    <w:rsid w:val="007758C5"/>
    <w:rsid w:val="00775D7F"/>
    <w:rsid w:val="00784A8D"/>
    <w:rsid w:val="007918E0"/>
    <w:rsid w:val="00791BDD"/>
    <w:rsid w:val="007A4EC7"/>
    <w:rsid w:val="007A59FB"/>
    <w:rsid w:val="007A6B2C"/>
    <w:rsid w:val="007B4591"/>
    <w:rsid w:val="007B6760"/>
    <w:rsid w:val="007C0604"/>
    <w:rsid w:val="007C5C77"/>
    <w:rsid w:val="007D28AD"/>
    <w:rsid w:val="007D3808"/>
    <w:rsid w:val="007D3B2F"/>
    <w:rsid w:val="007D4E83"/>
    <w:rsid w:val="007E08E7"/>
    <w:rsid w:val="007E2604"/>
    <w:rsid w:val="007E3401"/>
    <w:rsid w:val="007E360E"/>
    <w:rsid w:val="007E5E6B"/>
    <w:rsid w:val="007F4421"/>
    <w:rsid w:val="007F53CD"/>
    <w:rsid w:val="007F5BA4"/>
    <w:rsid w:val="007F6E1C"/>
    <w:rsid w:val="008033C8"/>
    <w:rsid w:val="00807C49"/>
    <w:rsid w:val="00824912"/>
    <w:rsid w:val="008273E4"/>
    <w:rsid w:val="008372C1"/>
    <w:rsid w:val="00842BB1"/>
    <w:rsid w:val="00844C99"/>
    <w:rsid w:val="0084521B"/>
    <w:rsid w:val="00852F3D"/>
    <w:rsid w:val="0085401A"/>
    <w:rsid w:val="008552FB"/>
    <w:rsid w:val="00861EE4"/>
    <w:rsid w:val="008623E8"/>
    <w:rsid w:val="008648F3"/>
    <w:rsid w:val="00865298"/>
    <w:rsid w:val="0086764E"/>
    <w:rsid w:val="008701B9"/>
    <w:rsid w:val="0087078C"/>
    <w:rsid w:val="0087621E"/>
    <w:rsid w:val="008804E9"/>
    <w:rsid w:val="00880C0A"/>
    <w:rsid w:val="00892184"/>
    <w:rsid w:val="008A2E7E"/>
    <w:rsid w:val="008A5F27"/>
    <w:rsid w:val="008B3FD7"/>
    <w:rsid w:val="008B44A1"/>
    <w:rsid w:val="008B59F0"/>
    <w:rsid w:val="008B7E55"/>
    <w:rsid w:val="008C2EB3"/>
    <w:rsid w:val="008C6B06"/>
    <w:rsid w:val="008C6B77"/>
    <w:rsid w:val="008D08F7"/>
    <w:rsid w:val="008D331C"/>
    <w:rsid w:val="008D5A17"/>
    <w:rsid w:val="008E1F4D"/>
    <w:rsid w:val="008E4B6B"/>
    <w:rsid w:val="008E5029"/>
    <w:rsid w:val="008E576F"/>
    <w:rsid w:val="008F4B84"/>
    <w:rsid w:val="008F68AE"/>
    <w:rsid w:val="009005FB"/>
    <w:rsid w:val="0090105B"/>
    <w:rsid w:val="009014BA"/>
    <w:rsid w:val="009117C2"/>
    <w:rsid w:val="00912E72"/>
    <w:rsid w:val="009140E3"/>
    <w:rsid w:val="009158BA"/>
    <w:rsid w:val="0092102B"/>
    <w:rsid w:val="009213B9"/>
    <w:rsid w:val="00922CAA"/>
    <w:rsid w:val="00923A2D"/>
    <w:rsid w:val="00930E1B"/>
    <w:rsid w:val="00935E36"/>
    <w:rsid w:val="00936E36"/>
    <w:rsid w:val="009370A2"/>
    <w:rsid w:val="00947C1B"/>
    <w:rsid w:val="009534CF"/>
    <w:rsid w:val="00954428"/>
    <w:rsid w:val="00962F28"/>
    <w:rsid w:val="00970AF1"/>
    <w:rsid w:val="0098031E"/>
    <w:rsid w:val="009932E5"/>
    <w:rsid w:val="009A0A33"/>
    <w:rsid w:val="009A622D"/>
    <w:rsid w:val="009A6F77"/>
    <w:rsid w:val="009B3ABE"/>
    <w:rsid w:val="009B3D83"/>
    <w:rsid w:val="009B5202"/>
    <w:rsid w:val="009B5BCA"/>
    <w:rsid w:val="009B6865"/>
    <w:rsid w:val="009B6E90"/>
    <w:rsid w:val="009B7A6A"/>
    <w:rsid w:val="009C2037"/>
    <w:rsid w:val="009C246B"/>
    <w:rsid w:val="009C25CD"/>
    <w:rsid w:val="009C28BB"/>
    <w:rsid w:val="009C46D3"/>
    <w:rsid w:val="009C542B"/>
    <w:rsid w:val="009D6CD5"/>
    <w:rsid w:val="009D7415"/>
    <w:rsid w:val="009D7684"/>
    <w:rsid w:val="009E6829"/>
    <w:rsid w:val="009F0E6F"/>
    <w:rsid w:val="009F2467"/>
    <w:rsid w:val="00A0035B"/>
    <w:rsid w:val="00A00A13"/>
    <w:rsid w:val="00A04F7B"/>
    <w:rsid w:val="00A05607"/>
    <w:rsid w:val="00A06245"/>
    <w:rsid w:val="00A1202C"/>
    <w:rsid w:val="00A12761"/>
    <w:rsid w:val="00A14C90"/>
    <w:rsid w:val="00A170A5"/>
    <w:rsid w:val="00A171A3"/>
    <w:rsid w:val="00A22294"/>
    <w:rsid w:val="00A22406"/>
    <w:rsid w:val="00A22DC8"/>
    <w:rsid w:val="00A24EBB"/>
    <w:rsid w:val="00A31C26"/>
    <w:rsid w:val="00A32AA2"/>
    <w:rsid w:val="00A36D51"/>
    <w:rsid w:val="00A40846"/>
    <w:rsid w:val="00A442BA"/>
    <w:rsid w:val="00A44D5D"/>
    <w:rsid w:val="00A455C0"/>
    <w:rsid w:val="00A51E7D"/>
    <w:rsid w:val="00A5410D"/>
    <w:rsid w:val="00A66D00"/>
    <w:rsid w:val="00A72873"/>
    <w:rsid w:val="00A80D90"/>
    <w:rsid w:val="00A90DBA"/>
    <w:rsid w:val="00AA1A21"/>
    <w:rsid w:val="00AA20AD"/>
    <w:rsid w:val="00AA5A33"/>
    <w:rsid w:val="00AB11E4"/>
    <w:rsid w:val="00AB1AFF"/>
    <w:rsid w:val="00AB25E8"/>
    <w:rsid w:val="00AB2797"/>
    <w:rsid w:val="00AB6587"/>
    <w:rsid w:val="00AC0FE6"/>
    <w:rsid w:val="00AC2DFE"/>
    <w:rsid w:val="00AC3615"/>
    <w:rsid w:val="00AD3D07"/>
    <w:rsid w:val="00AD6489"/>
    <w:rsid w:val="00AE10CA"/>
    <w:rsid w:val="00AE66D0"/>
    <w:rsid w:val="00AF08B7"/>
    <w:rsid w:val="00B03644"/>
    <w:rsid w:val="00B12601"/>
    <w:rsid w:val="00B16FFF"/>
    <w:rsid w:val="00B25719"/>
    <w:rsid w:val="00B309E6"/>
    <w:rsid w:val="00B41B48"/>
    <w:rsid w:val="00B4582B"/>
    <w:rsid w:val="00B51F1D"/>
    <w:rsid w:val="00B63944"/>
    <w:rsid w:val="00B641DD"/>
    <w:rsid w:val="00B7463F"/>
    <w:rsid w:val="00B83889"/>
    <w:rsid w:val="00B8480E"/>
    <w:rsid w:val="00BA1CDD"/>
    <w:rsid w:val="00BB0179"/>
    <w:rsid w:val="00BB5CFC"/>
    <w:rsid w:val="00BB732E"/>
    <w:rsid w:val="00BC2944"/>
    <w:rsid w:val="00BC7A98"/>
    <w:rsid w:val="00BD3AB9"/>
    <w:rsid w:val="00BD557A"/>
    <w:rsid w:val="00BE7D63"/>
    <w:rsid w:val="00BF151F"/>
    <w:rsid w:val="00BF5CA0"/>
    <w:rsid w:val="00C00159"/>
    <w:rsid w:val="00C02E2F"/>
    <w:rsid w:val="00C0709B"/>
    <w:rsid w:val="00C0776E"/>
    <w:rsid w:val="00C11E8E"/>
    <w:rsid w:val="00C140A2"/>
    <w:rsid w:val="00C14767"/>
    <w:rsid w:val="00C153A5"/>
    <w:rsid w:val="00C16770"/>
    <w:rsid w:val="00C1702D"/>
    <w:rsid w:val="00C23CEF"/>
    <w:rsid w:val="00C26680"/>
    <w:rsid w:val="00C26948"/>
    <w:rsid w:val="00C310F5"/>
    <w:rsid w:val="00C31E5C"/>
    <w:rsid w:val="00C34EF7"/>
    <w:rsid w:val="00C5545A"/>
    <w:rsid w:val="00C55FBD"/>
    <w:rsid w:val="00C56A3E"/>
    <w:rsid w:val="00C60589"/>
    <w:rsid w:val="00C6295B"/>
    <w:rsid w:val="00C63C2E"/>
    <w:rsid w:val="00C65BDF"/>
    <w:rsid w:val="00C665C1"/>
    <w:rsid w:val="00C7172D"/>
    <w:rsid w:val="00C71AB8"/>
    <w:rsid w:val="00C71D8F"/>
    <w:rsid w:val="00C773D4"/>
    <w:rsid w:val="00C81851"/>
    <w:rsid w:val="00C8567C"/>
    <w:rsid w:val="00C857AC"/>
    <w:rsid w:val="00C86ACB"/>
    <w:rsid w:val="00C86EDD"/>
    <w:rsid w:val="00C87361"/>
    <w:rsid w:val="00C9029E"/>
    <w:rsid w:val="00C97C5F"/>
    <w:rsid w:val="00CA0A88"/>
    <w:rsid w:val="00CA2CFA"/>
    <w:rsid w:val="00CA4049"/>
    <w:rsid w:val="00CA501E"/>
    <w:rsid w:val="00CA67D5"/>
    <w:rsid w:val="00CB2C26"/>
    <w:rsid w:val="00CB658C"/>
    <w:rsid w:val="00CC2859"/>
    <w:rsid w:val="00CD01B0"/>
    <w:rsid w:val="00CD2A58"/>
    <w:rsid w:val="00CD77AA"/>
    <w:rsid w:val="00CD7F0D"/>
    <w:rsid w:val="00CE0ECC"/>
    <w:rsid w:val="00CE1784"/>
    <w:rsid w:val="00CE7930"/>
    <w:rsid w:val="00CF2B76"/>
    <w:rsid w:val="00CF2BC0"/>
    <w:rsid w:val="00CF72C6"/>
    <w:rsid w:val="00D02EAA"/>
    <w:rsid w:val="00D04972"/>
    <w:rsid w:val="00D120C9"/>
    <w:rsid w:val="00D139CB"/>
    <w:rsid w:val="00D15374"/>
    <w:rsid w:val="00D160E7"/>
    <w:rsid w:val="00D1761C"/>
    <w:rsid w:val="00D265E5"/>
    <w:rsid w:val="00D2750B"/>
    <w:rsid w:val="00D31FC8"/>
    <w:rsid w:val="00D32B93"/>
    <w:rsid w:val="00D33CAC"/>
    <w:rsid w:val="00D351DE"/>
    <w:rsid w:val="00D40FD9"/>
    <w:rsid w:val="00D457A3"/>
    <w:rsid w:val="00D51BF6"/>
    <w:rsid w:val="00D52165"/>
    <w:rsid w:val="00D536CC"/>
    <w:rsid w:val="00D54B11"/>
    <w:rsid w:val="00D630D0"/>
    <w:rsid w:val="00D63E1F"/>
    <w:rsid w:val="00D64F21"/>
    <w:rsid w:val="00D73B3F"/>
    <w:rsid w:val="00D7685B"/>
    <w:rsid w:val="00D8243E"/>
    <w:rsid w:val="00D87C29"/>
    <w:rsid w:val="00D95D0E"/>
    <w:rsid w:val="00DA26D5"/>
    <w:rsid w:val="00DA2906"/>
    <w:rsid w:val="00DA315D"/>
    <w:rsid w:val="00DA4CC1"/>
    <w:rsid w:val="00DA68AA"/>
    <w:rsid w:val="00DA7454"/>
    <w:rsid w:val="00DB7DE9"/>
    <w:rsid w:val="00DC459C"/>
    <w:rsid w:val="00DD02AA"/>
    <w:rsid w:val="00DD1045"/>
    <w:rsid w:val="00DD7F78"/>
    <w:rsid w:val="00DE119A"/>
    <w:rsid w:val="00DE29BF"/>
    <w:rsid w:val="00DE39E0"/>
    <w:rsid w:val="00DE5665"/>
    <w:rsid w:val="00DF5090"/>
    <w:rsid w:val="00DF54D9"/>
    <w:rsid w:val="00E05034"/>
    <w:rsid w:val="00E05283"/>
    <w:rsid w:val="00E059B1"/>
    <w:rsid w:val="00E07962"/>
    <w:rsid w:val="00E11014"/>
    <w:rsid w:val="00E11C75"/>
    <w:rsid w:val="00E11E84"/>
    <w:rsid w:val="00E23779"/>
    <w:rsid w:val="00E301B9"/>
    <w:rsid w:val="00E338D0"/>
    <w:rsid w:val="00E34219"/>
    <w:rsid w:val="00E40417"/>
    <w:rsid w:val="00E40E8F"/>
    <w:rsid w:val="00E42912"/>
    <w:rsid w:val="00E51CE7"/>
    <w:rsid w:val="00E52921"/>
    <w:rsid w:val="00E56FF6"/>
    <w:rsid w:val="00E716CF"/>
    <w:rsid w:val="00E71E81"/>
    <w:rsid w:val="00E7518B"/>
    <w:rsid w:val="00E768D4"/>
    <w:rsid w:val="00E76E88"/>
    <w:rsid w:val="00E805D1"/>
    <w:rsid w:val="00E92A6F"/>
    <w:rsid w:val="00E92C1F"/>
    <w:rsid w:val="00E9669D"/>
    <w:rsid w:val="00E97E7E"/>
    <w:rsid w:val="00EA0C51"/>
    <w:rsid w:val="00EA30F8"/>
    <w:rsid w:val="00EA40BC"/>
    <w:rsid w:val="00EA69D0"/>
    <w:rsid w:val="00EA6B5E"/>
    <w:rsid w:val="00EB2050"/>
    <w:rsid w:val="00EB28BD"/>
    <w:rsid w:val="00EB2B05"/>
    <w:rsid w:val="00EB3447"/>
    <w:rsid w:val="00EB5424"/>
    <w:rsid w:val="00EB6D5F"/>
    <w:rsid w:val="00EC0FEC"/>
    <w:rsid w:val="00EC413B"/>
    <w:rsid w:val="00EC5AAF"/>
    <w:rsid w:val="00ED2794"/>
    <w:rsid w:val="00ED3742"/>
    <w:rsid w:val="00ED5A69"/>
    <w:rsid w:val="00ED6056"/>
    <w:rsid w:val="00ED6295"/>
    <w:rsid w:val="00EE4A09"/>
    <w:rsid w:val="00EE58B2"/>
    <w:rsid w:val="00EE5903"/>
    <w:rsid w:val="00EE5D19"/>
    <w:rsid w:val="00EF09BE"/>
    <w:rsid w:val="00EF75D0"/>
    <w:rsid w:val="00F0067A"/>
    <w:rsid w:val="00F05034"/>
    <w:rsid w:val="00F11823"/>
    <w:rsid w:val="00F151E1"/>
    <w:rsid w:val="00F165FF"/>
    <w:rsid w:val="00F166D1"/>
    <w:rsid w:val="00F22415"/>
    <w:rsid w:val="00F249A8"/>
    <w:rsid w:val="00F436AF"/>
    <w:rsid w:val="00F46940"/>
    <w:rsid w:val="00F46AC3"/>
    <w:rsid w:val="00F63B5B"/>
    <w:rsid w:val="00F66E75"/>
    <w:rsid w:val="00F70125"/>
    <w:rsid w:val="00F70436"/>
    <w:rsid w:val="00F71A9F"/>
    <w:rsid w:val="00F71D97"/>
    <w:rsid w:val="00F72AAC"/>
    <w:rsid w:val="00F7671A"/>
    <w:rsid w:val="00F818AE"/>
    <w:rsid w:val="00F8421D"/>
    <w:rsid w:val="00F84CB8"/>
    <w:rsid w:val="00F85743"/>
    <w:rsid w:val="00F90188"/>
    <w:rsid w:val="00F93AF2"/>
    <w:rsid w:val="00F951C6"/>
    <w:rsid w:val="00F97AE2"/>
    <w:rsid w:val="00FA016C"/>
    <w:rsid w:val="00FA095C"/>
    <w:rsid w:val="00FA6A65"/>
    <w:rsid w:val="00FB04D6"/>
    <w:rsid w:val="00FB0838"/>
    <w:rsid w:val="00FC3746"/>
    <w:rsid w:val="00FC3B30"/>
    <w:rsid w:val="00FC4787"/>
    <w:rsid w:val="00FD2634"/>
    <w:rsid w:val="00FD6E6B"/>
    <w:rsid w:val="00FE09C4"/>
    <w:rsid w:val="00FE09DF"/>
    <w:rsid w:val="00FE500B"/>
    <w:rsid w:val="00FE6007"/>
    <w:rsid w:val="00FF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C4317"/>
  <w15:chartTrackingRefBased/>
  <w15:docId w15:val="{D4806A49-1DCF-48C2-95D8-C147D93E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A73"/>
    <w:pPr>
      <w:ind w:left="284"/>
    </w:pPr>
    <w:rPr>
      <w:rFonts w:ascii="Arial" w:hAnsi="Arial" w:cs="Arial"/>
      <w:lang w:val="de-DE" w:eastAsia="de-CH"/>
    </w:rPr>
  </w:style>
  <w:style w:type="paragraph" w:styleId="Heading1">
    <w:name w:val="heading 1"/>
    <w:basedOn w:val="Normal"/>
    <w:next w:val="Normal"/>
    <w:qFormat/>
    <w:rsid w:val="00244A73"/>
    <w:pPr>
      <w:keepNext/>
      <w:spacing w:before="240" w:after="60"/>
      <w:outlineLvl w:val="0"/>
    </w:pPr>
    <w:rPr>
      <w:b/>
      <w:bCs/>
      <w:kern w:val="32"/>
      <w:sz w:val="32"/>
      <w:szCs w:val="32"/>
    </w:rPr>
  </w:style>
  <w:style w:type="paragraph" w:styleId="Heading2">
    <w:name w:val="heading 2"/>
    <w:basedOn w:val="Normal"/>
    <w:next w:val="DefaultParagraphFontCharChar"/>
    <w:qFormat/>
    <w:rsid w:val="009F2467"/>
    <w:pPr>
      <w:keepNext/>
      <w:numPr>
        <w:ilvl w:val="1"/>
        <w:numId w:val="17"/>
      </w:numPr>
      <w:spacing w:before="240" w:after="60"/>
      <w:ind w:left="284"/>
      <w:outlineLvl w:val="1"/>
    </w:pPr>
    <w:rPr>
      <w:b/>
      <w:bCs/>
      <w:i/>
      <w:iCs/>
      <w:sz w:val="28"/>
      <w:szCs w:val="28"/>
      <w:lang w:val="de-CH"/>
    </w:rPr>
  </w:style>
  <w:style w:type="paragraph" w:styleId="Heading3">
    <w:name w:val="heading 3"/>
    <w:basedOn w:val="Normal"/>
    <w:next w:val="Normal"/>
    <w:qFormat/>
    <w:rsid w:val="00244A73"/>
    <w:pPr>
      <w:keepNext/>
      <w:spacing w:before="240" w:after="60"/>
      <w:outlineLvl w:val="2"/>
    </w:pPr>
    <w:rPr>
      <w:b/>
      <w:bCs/>
      <w:sz w:val="26"/>
      <w:szCs w:val="26"/>
    </w:rPr>
  </w:style>
  <w:style w:type="paragraph" w:styleId="Heading4">
    <w:name w:val="heading 4"/>
    <w:basedOn w:val="Normal"/>
    <w:next w:val="Normal"/>
    <w:qFormat/>
    <w:rsid w:val="00244A73"/>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44A73"/>
    <w:pPr>
      <w:spacing w:before="240" w:after="60"/>
      <w:outlineLvl w:val="4"/>
    </w:pPr>
    <w:rPr>
      <w:b/>
      <w:bCs/>
      <w:i/>
      <w:iCs/>
      <w:sz w:val="26"/>
      <w:szCs w:val="26"/>
    </w:rPr>
  </w:style>
  <w:style w:type="paragraph" w:styleId="Heading6">
    <w:name w:val="heading 6"/>
    <w:basedOn w:val="Normal"/>
    <w:next w:val="Normal"/>
    <w:qFormat/>
    <w:rsid w:val="00244A73"/>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244A73"/>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244A73"/>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244A73"/>
    <w:pPr>
      <w:spacing w:before="240" w:after="60"/>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4A73"/>
    <w:pPr>
      <w:tabs>
        <w:tab w:val="center" w:pos="4536"/>
        <w:tab w:val="right" w:pos="9072"/>
      </w:tabs>
    </w:pPr>
  </w:style>
  <w:style w:type="paragraph" w:styleId="Footer">
    <w:name w:val="footer"/>
    <w:basedOn w:val="Normal"/>
    <w:rsid w:val="00244A73"/>
    <w:pPr>
      <w:tabs>
        <w:tab w:val="center" w:pos="4536"/>
        <w:tab w:val="right" w:pos="9072"/>
      </w:tabs>
    </w:pPr>
  </w:style>
  <w:style w:type="paragraph" w:customStyle="1" w:styleId="StyleArialBefore-04cm">
    <w:name w:val="Style Arial Before:  -0.4 cm"/>
    <w:basedOn w:val="Normal"/>
    <w:rsid w:val="00244A73"/>
    <w:pPr>
      <w:ind w:left="-227"/>
    </w:pPr>
  </w:style>
  <w:style w:type="paragraph" w:styleId="BalloonText">
    <w:name w:val="Balloon Text"/>
    <w:basedOn w:val="Normal"/>
    <w:semiHidden/>
    <w:rsid w:val="00244A73"/>
    <w:rPr>
      <w:rFonts w:ascii="Tahoma" w:hAnsi="Tahoma" w:cs="Tahoma"/>
      <w:sz w:val="16"/>
      <w:szCs w:val="16"/>
    </w:rPr>
  </w:style>
  <w:style w:type="character" w:styleId="PageNumber">
    <w:name w:val="page number"/>
    <w:basedOn w:val="DefaultParagraphFont"/>
    <w:rsid w:val="00244A73"/>
    <w:rPr>
      <w:rFonts w:ascii="Helvetica" w:hAnsi="Helvetica" w:cs="Arial"/>
      <w:lang w:val="en-US" w:eastAsia="de-CH" w:bidi="ar-SA"/>
    </w:rPr>
  </w:style>
  <w:style w:type="table" w:styleId="TableGrid">
    <w:name w:val="Table Grid"/>
    <w:basedOn w:val="TableNormal"/>
    <w:rsid w:val="00244A73"/>
    <w:rPr>
      <w:rFonts w:ascii="Arial" w:hAnsi="Arial"/>
    </w:r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12"/>
    <w:basedOn w:val="Normal"/>
    <w:rsid w:val="00244A73"/>
    <w:pPr>
      <w:spacing w:after="160" w:line="240" w:lineRule="exact"/>
    </w:pPr>
    <w:rPr>
      <w:lang w:val="en-US"/>
    </w:rPr>
  </w:style>
  <w:style w:type="character" w:styleId="Hyperlink">
    <w:name w:val="Hyperlink"/>
    <w:basedOn w:val="DefaultParagraphFont"/>
    <w:rsid w:val="00244A73"/>
    <w:rPr>
      <w:rFonts w:ascii="Helvetica" w:hAnsi="Helvetica" w:cs="Arial"/>
      <w:color w:val="0000FF"/>
      <w:u w:val="single"/>
      <w:lang w:val="en-US" w:eastAsia="de-CH" w:bidi="ar-SA"/>
    </w:rPr>
  </w:style>
  <w:style w:type="numbering" w:styleId="111111">
    <w:name w:val="Outline List 2"/>
    <w:basedOn w:val="NoList"/>
    <w:rsid w:val="009F2467"/>
    <w:pPr>
      <w:numPr>
        <w:numId w:val="11"/>
      </w:numPr>
    </w:pPr>
  </w:style>
  <w:style w:type="numbering" w:styleId="1ai">
    <w:name w:val="Outline List 1"/>
    <w:basedOn w:val="NoList"/>
    <w:rsid w:val="00244A73"/>
    <w:pPr>
      <w:numPr>
        <w:numId w:val="14"/>
      </w:numPr>
    </w:pPr>
  </w:style>
  <w:style w:type="numbering" w:styleId="ArticleSection">
    <w:name w:val="Outline List 3"/>
    <w:basedOn w:val="NoList"/>
    <w:rsid w:val="00244A73"/>
    <w:pPr>
      <w:numPr>
        <w:numId w:val="15"/>
      </w:numPr>
    </w:pPr>
  </w:style>
  <w:style w:type="paragraph" w:styleId="List">
    <w:name w:val="List"/>
    <w:basedOn w:val="Normal"/>
    <w:rsid w:val="00244A73"/>
    <w:pPr>
      <w:ind w:left="568" w:hanging="284"/>
    </w:pPr>
  </w:style>
  <w:style w:type="paragraph" w:styleId="ListBullet">
    <w:name w:val="List Bullet"/>
    <w:basedOn w:val="Normal"/>
    <w:autoRedefine/>
    <w:rsid w:val="009F2467"/>
    <w:pPr>
      <w:numPr>
        <w:numId w:val="18"/>
      </w:numPr>
      <w:ind w:left="641" w:hanging="357"/>
    </w:pPr>
  </w:style>
  <w:style w:type="paragraph" w:styleId="ListContinue">
    <w:name w:val="List Continue"/>
    <w:basedOn w:val="Normal"/>
    <w:rsid w:val="00244A73"/>
    <w:pPr>
      <w:spacing w:after="120"/>
    </w:pPr>
  </w:style>
  <w:style w:type="paragraph" w:styleId="ListNumber">
    <w:name w:val="List Number"/>
    <w:basedOn w:val="Normal"/>
    <w:rsid w:val="00F22415"/>
    <w:pPr>
      <w:numPr>
        <w:numId w:val="19"/>
      </w:numPr>
      <w:ind w:left="641" w:hanging="357"/>
    </w:pPr>
  </w:style>
  <w:style w:type="paragraph" w:styleId="MessageHeader">
    <w:name w:val="Message Header"/>
    <w:basedOn w:val="Normal"/>
    <w:rsid w:val="00244A73"/>
    <w:pPr>
      <w:pBdr>
        <w:top w:val="single" w:sz="6" w:space="1" w:color="auto"/>
        <w:left w:val="single" w:sz="6" w:space="1" w:color="auto"/>
        <w:bottom w:val="single" w:sz="6" w:space="1" w:color="auto"/>
        <w:right w:val="single" w:sz="6" w:space="1" w:color="auto"/>
      </w:pBdr>
      <w:shd w:val="pct20" w:color="auto" w:fill="auto"/>
      <w:ind w:left="1418" w:hanging="1134"/>
    </w:pPr>
    <w:rPr>
      <w:sz w:val="24"/>
      <w:szCs w:val="24"/>
    </w:rPr>
  </w:style>
  <w:style w:type="character" w:customStyle="1" w:styleId="StyleStyleBoldNotBold">
    <w:name w:val="Style Style Bold + Not Bold"/>
    <w:basedOn w:val="DefaultParagraphFont"/>
    <w:rsid w:val="00244A73"/>
    <w:rPr>
      <w:rFonts w:ascii="Arial" w:hAnsi="Arial" w:cs="Arial"/>
      <w:b/>
      <w:bCs/>
      <w:sz w:val="20"/>
      <w:lang w:val="de-CH" w:eastAsia="de-CH" w:bidi="ar-SA"/>
    </w:rPr>
  </w:style>
  <w:style w:type="character" w:customStyle="1" w:styleId="StyleStyleStyleBoldNotBoldLatin12pt">
    <w:name w:val="Style Style Style Bold + Not Bold + (Latin) 12 pt"/>
    <w:basedOn w:val="StyleStyleBoldNotBold"/>
    <w:rsid w:val="00244A73"/>
    <w:rPr>
      <w:rFonts w:ascii="Arial" w:hAnsi="Arial" w:cs="Arial"/>
      <w:b/>
      <w:bCs/>
      <w:sz w:val="20"/>
      <w:lang w:val="de-CH" w:eastAsia="de-CH" w:bidi="ar-SA"/>
    </w:rPr>
  </w:style>
  <w:style w:type="character" w:customStyle="1" w:styleId="StyleStyleStyleBoldNotBoldNotBold">
    <w:name w:val="Style Style Style Bold + Not Bold + Not Bold"/>
    <w:basedOn w:val="DefaultParagraphFont"/>
    <w:rsid w:val="00244A73"/>
    <w:rPr>
      <w:rFonts w:ascii="Arial" w:hAnsi="Arial" w:cs="Arial" w:hint="default"/>
      <w:lang w:val="de-CH" w:eastAsia="de-CH" w:bidi="ar-SA"/>
    </w:rPr>
  </w:style>
  <w:style w:type="table" w:styleId="Table3Deffects1">
    <w:name w:val="Table 3D effects 1"/>
    <w:basedOn w:val="TableNormal"/>
    <w:rsid w:val="009F2467"/>
    <w:pPr>
      <w:ind w:left="284"/>
    </w:pPr>
    <w:tblPr>
      <w:tblInd w:w="284"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44A73"/>
    <w:pPr>
      <w:ind w:left="284"/>
    </w:pPr>
    <w:tblPr>
      <w:tblStyleRowBandSize w:val="1"/>
      <w:tblInd w:w="284"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44A73"/>
    <w:pPr>
      <w:ind w:left="284"/>
    </w:pPr>
    <w:tblPr>
      <w:tblStyleRowBandSize w:val="1"/>
      <w:tblStyleColBandSize w:val="1"/>
      <w:tblInd w:w="284"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44A73"/>
    <w:pPr>
      <w:ind w:left="284"/>
    </w:pPr>
    <w:tblPr>
      <w:tblInd w:w="284"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44A73"/>
    <w:pPr>
      <w:ind w:left="284"/>
    </w:pPr>
    <w:tblPr>
      <w:tblInd w:w="284"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44A73"/>
    <w:pPr>
      <w:ind w:left="284"/>
    </w:pPr>
    <w:rPr>
      <w:color w:val="000080"/>
    </w:rPr>
    <w:tblPr>
      <w:tblInd w:w="284"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44A73"/>
    <w:pPr>
      <w:ind w:left="284"/>
    </w:pPr>
    <w:tblPr>
      <w:tblInd w:w="284"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44A73"/>
    <w:pPr>
      <w:ind w:left="284"/>
    </w:pPr>
    <w:rPr>
      <w:color w:val="FFFFFF"/>
    </w:rPr>
    <w:tblPr>
      <w:tblInd w:w="284"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44A73"/>
    <w:pPr>
      <w:ind w:left="284"/>
    </w:pPr>
    <w:tblPr>
      <w:tblInd w:w="284"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44A73"/>
    <w:pPr>
      <w:ind w:left="284"/>
    </w:pPr>
    <w:tblPr>
      <w:tblInd w:w="284"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44A73"/>
    <w:pPr>
      <w:ind w:left="284"/>
    </w:pPr>
    <w:rPr>
      <w:b/>
      <w:bCs/>
    </w:rPr>
    <w:tblPr>
      <w:tblStyleColBandSize w:val="1"/>
      <w:tblInd w:w="284"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44A73"/>
    <w:pPr>
      <w:ind w:left="284"/>
    </w:pPr>
    <w:rPr>
      <w:b/>
      <w:bCs/>
    </w:rPr>
    <w:tblPr>
      <w:tblStyleColBandSize w:val="1"/>
      <w:tblInd w:w="284"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44A73"/>
    <w:pPr>
      <w:ind w:left="284"/>
    </w:pPr>
    <w:tblPr>
      <w:tblStyleColBandSize w:val="1"/>
      <w:tblInd w:w="284"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44A73"/>
    <w:pPr>
      <w:ind w:left="284"/>
    </w:pPr>
    <w:tblPr>
      <w:tblStyleColBandSize w:val="1"/>
      <w:tblInd w:w="284"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44A73"/>
    <w:pPr>
      <w:ind w:left="284"/>
    </w:pPr>
    <w:tblPr>
      <w:tblStyleRowBandSize w:val="1"/>
      <w:tblInd w:w="284"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1">
    <w:name w:val="Table Grid 1"/>
    <w:basedOn w:val="TableNormal"/>
    <w:rsid w:val="00244A73"/>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44A73"/>
    <w:pPr>
      <w:ind w:left="284"/>
    </w:pPr>
    <w:tblPr>
      <w:tblInd w:w="284"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44A73"/>
    <w:pPr>
      <w:ind w:left="284"/>
    </w:pPr>
    <w:tblPr>
      <w:tblInd w:w="284"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44A73"/>
    <w:pPr>
      <w:ind w:left="284"/>
    </w:pPr>
    <w:tblPr>
      <w:tblInd w:w="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44A73"/>
    <w:pPr>
      <w:ind w:left="284"/>
    </w:pPr>
    <w:tblPr>
      <w:tblInd w:w="284"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44A73"/>
    <w:pPr>
      <w:ind w:left="284"/>
    </w:pPr>
    <w:rPr>
      <w:b/>
      <w:bCs/>
    </w:rPr>
    <w:tblPr>
      <w:tblInd w:w="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44A73"/>
    <w:pPr>
      <w:ind w:left="284"/>
    </w:pPr>
    <w:tblPr>
      <w:tblInd w:w="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44A73"/>
    <w:pPr>
      <w:ind w:left="284"/>
    </w:pPr>
    <w:tblPr>
      <w:tblStyleRowBandSize w:val="1"/>
      <w:tblInd w:w="284"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44A73"/>
    <w:pPr>
      <w:ind w:left="284"/>
    </w:pPr>
    <w:tblPr>
      <w:tblStyleRowBandSize w:val="2"/>
      <w:tblInd w:w="284"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44A73"/>
    <w:pPr>
      <w:ind w:left="284"/>
    </w:pPr>
    <w:tblPr>
      <w:tblInd w:w="284"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44A73"/>
    <w:pPr>
      <w:ind w:left="284"/>
    </w:pPr>
    <w:tblPr>
      <w:tblInd w:w="284"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44A73"/>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44A73"/>
    <w:pPr>
      <w:ind w:left="284"/>
    </w:pPr>
    <w:tblPr>
      <w:tblStyleRowBandSize w:val="1"/>
      <w:tblInd w:w="284"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44A73"/>
    <w:pPr>
      <w:ind w:left="284"/>
    </w:pPr>
    <w:tblPr>
      <w:tblStyleRowBandSize w:val="1"/>
      <w:tblInd w:w="284"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44A73"/>
    <w:pPr>
      <w:ind w:left="284"/>
    </w:pPr>
    <w:tblPr>
      <w:tblStyleRowBandSize w:val="1"/>
      <w:tblInd w:w="284"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44A73"/>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44A73"/>
    <w:pPr>
      <w:ind w:left="284"/>
    </w:pPr>
    <w:tblPr>
      <w:tblInd w:w="284"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44A73"/>
    <w:pPr>
      <w:ind w:left="284"/>
    </w:pPr>
    <w:tblPr>
      <w:tblInd w:w="284"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44A73"/>
    <w:pPr>
      <w:ind w:left="284"/>
    </w:pPr>
    <w:tblPr>
      <w:tblInd w:w="284"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44A73"/>
    <w:pPr>
      <w:ind w:left="284"/>
    </w:pPr>
    <w:tblPr>
      <w:tblStyleRowBandSize w:val="1"/>
      <w:tblInd w:w="284"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44A73"/>
    <w:pPr>
      <w:ind w:left="284"/>
    </w:pPr>
    <w:tblPr>
      <w:tblInd w:w="284"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44A73"/>
    <w:pPr>
      <w:ind w:left="284"/>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44A73"/>
    <w:pPr>
      <w:ind w:left="284"/>
    </w:pPr>
    <w:tblPr>
      <w:tblCellSpacing w:w="20" w:type="dxa"/>
      <w:tblInd w:w="2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44A73"/>
    <w:pPr>
      <w:ind w:left="284"/>
    </w:pPr>
    <w:tblPr>
      <w:tblCellSpacing w:w="20" w:type="dxa"/>
      <w:tblInd w:w="28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44A73"/>
    <w:pPr>
      <w:ind w:left="284"/>
    </w:pPr>
    <w:tblPr>
      <w:tblCellSpacing w:w="20" w:type="dxa"/>
      <w:tblInd w:w="284"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velopeAddress">
    <w:name w:val="envelope address"/>
    <w:basedOn w:val="Normal"/>
    <w:rsid w:val="00F22415"/>
    <w:pPr>
      <w:framePr w:w="4320" w:h="2160" w:hRule="exact" w:hSpace="141" w:wrap="auto" w:hAnchor="page" w:xAlign="center" w:yAlign="bottom"/>
    </w:pPr>
    <w:rPr>
      <w:sz w:val="24"/>
      <w:szCs w:val="24"/>
    </w:rPr>
  </w:style>
  <w:style w:type="table" w:styleId="TableColumns3">
    <w:name w:val="Table Columns 3"/>
    <w:basedOn w:val="TableNormal"/>
    <w:rsid w:val="00F22415"/>
    <w:pPr>
      <w:ind w:left="284"/>
    </w:pPr>
    <w:rPr>
      <w:b/>
      <w:bCs/>
    </w:rPr>
    <w:tblPr>
      <w:tblStyleColBandSize w:val="1"/>
      <w:tblInd w:w="284"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Elegant">
    <w:name w:val="Table Elegant"/>
    <w:basedOn w:val="TableNormal"/>
    <w:rsid w:val="00F22415"/>
    <w:pPr>
      <w:ind w:left="284"/>
    </w:pPr>
    <w:tblPr>
      <w:tblInd w:w="28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3">
    <w:name w:val="Table Grid 3"/>
    <w:basedOn w:val="TableNormal"/>
    <w:rsid w:val="00F71D97"/>
    <w:pPr>
      <w:ind w:left="284"/>
    </w:pPr>
    <w:tblPr>
      <w:tblInd w:w="284"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E30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74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dmin.ch/opc/de/classified-compilation/20133127/index.html" TargetMode="External"/><Relationship Id="rId13" Type="http://schemas.openxmlformats.org/officeDocument/2006/relationships/hyperlink" Target="http://www.eda.admin.ch" TargetMode="External"/><Relationship Id="rId18" Type="http://schemas.openxmlformats.org/officeDocument/2006/relationships/hyperlink" Target="https://www.traveladmin.c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eda.admin.ch" TargetMode="External"/><Relationship Id="rId17" Type="http://schemas.openxmlformats.org/officeDocument/2006/relationships/hyperlink" Target="https://www.eda.admin.ch/eda/de/home/leben-im-ausland/schweizerinnen-und-schweizer-im-ausland/dienstleistungen-schweiz-ausland/online-schalter.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ho.int" TargetMode="External"/><Relationship Id="rId20" Type="http://schemas.openxmlformats.org/officeDocument/2006/relationships/hyperlink" Target="http://www.facebook.com/SwissEmbassyPhilippin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rrmc.gov.ph/"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healthytravel.ch/" TargetMode="External"/><Relationship Id="rId23" Type="http://schemas.openxmlformats.org/officeDocument/2006/relationships/footer" Target="footer2.xml"/><Relationship Id="rId10" Type="http://schemas.openxmlformats.org/officeDocument/2006/relationships/hyperlink" Target="http://www.pagasa.dost.gov.ph/" TargetMode="External"/><Relationship Id="rId19" Type="http://schemas.openxmlformats.org/officeDocument/2006/relationships/hyperlink" Target="http://www.eda.admin.ch/georgia" TargetMode="External"/><Relationship Id="rId4" Type="http://schemas.openxmlformats.org/officeDocument/2006/relationships/webSettings" Target="webSettings.xml"/><Relationship Id="rId9" Type="http://schemas.openxmlformats.org/officeDocument/2006/relationships/hyperlink" Target="https://www.phivolcs.dost.gov.ph/" TargetMode="External"/><Relationship Id="rId14" Type="http://schemas.openxmlformats.org/officeDocument/2006/relationships/hyperlink" Target="http://www.bag.admin.ch"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Downloads\Leaflet_20251010_0303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Leaflet_20251010_030320.dotx</Template>
  <TotalTime>25</TotalTime>
  <Pages>3</Pages>
  <Words>1120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Leaflet.dot XP</vt:lpstr>
    </vt:vector>
  </TitlesOfParts>
  <Company>Informatik Ausland</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Leaflet.dot XP</dc:title>
  <dc:subject>XP/NT</dc:subject>
  <dc:creator>Wenger Pascal EDA WPL</dc:creator>
  <cp:keywords/>
  <dc:description>Leaflet.dot clixEDA fähig</dc:description>
  <cp:lastModifiedBy>Wenger Pascal EDA WPL</cp:lastModifiedBy>
  <cp:revision>1</cp:revision>
  <cp:lastPrinted>2006-08-21T14:16:00Z</cp:lastPrinted>
  <dcterms:created xsi:type="dcterms:W3CDTF">2025-10-10T03:03:00Z</dcterms:created>
  <dcterms:modified xsi:type="dcterms:W3CDTF">2025-10-10T03:31:00Z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5a5f50-0881-436f-9c49-8a41d790817e_Enabled">
    <vt:lpwstr>true</vt:lpwstr>
  </property>
  <property fmtid="{D5CDD505-2E9C-101B-9397-08002B2CF9AE}" pid="3" name="MSIP_Label_da5a5f50-0881-436f-9c49-8a41d790817e_SetDate">
    <vt:lpwstr>2025-10-10T03:31:52Z</vt:lpwstr>
  </property>
  <property fmtid="{D5CDD505-2E9C-101B-9397-08002B2CF9AE}" pid="4" name="MSIP_Label_da5a5f50-0881-436f-9c49-8a41d790817e_Method">
    <vt:lpwstr>Privileged</vt:lpwstr>
  </property>
  <property fmtid="{D5CDD505-2E9C-101B-9397-08002B2CF9AE}" pid="5" name="MSIP_Label_da5a5f50-0881-436f-9c49-8a41d790817e_Name">
    <vt:lpwstr>L1</vt:lpwstr>
  </property>
  <property fmtid="{D5CDD505-2E9C-101B-9397-08002B2CF9AE}" pid="6" name="MSIP_Label_da5a5f50-0881-436f-9c49-8a41d790817e_SiteId">
    <vt:lpwstr>02e3c4d5-27fd-43fe-8203-97710d02fae4</vt:lpwstr>
  </property>
  <property fmtid="{D5CDD505-2E9C-101B-9397-08002B2CF9AE}" pid="7" name="MSIP_Label_da5a5f50-0881-436f-9c49-8a41d790817e_ActionId">
    <vt:lpwstr>41f55529-1665-43ad-83e6-6f4f2d98cf86</vt:lpwstr>
  </property>
  <property fmtid="{D5CDD505-2E9C-101B-9397-08002B2CF9AE}" pid="8" name="MSIP_Label_da5a5f50-0881-436f-9c49-8a41d790817e_ContentBits">
    <vt:lpwstr>0</vt:lpwstr>
  </property>
</Properties>
</file>